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BE0CC" w14:textId="77777777" w:rsidR="00DC69C7" w:rsidRDefault="00DC69C7">
      <w:pPr>
        <w:jc w:val="both"/>
        <w:rPr>
          <w:rFonts w:ascii="Calibri" w:hAnsi="Calibri"/>
        </w:rPr>
      </w:pPr>
      <w:bookmarkStart w:id="0" w:name="_GoBack"/>
      <w:bookmarkEnd w:id="0"/>
    </w:p>
    <w:p w14:paraId="284BD17F" w14:textId="77777777" w:rsidR="00DC69C7" w:rsidRDefault="00DC69C7">
      <w:pPr>
        <w:jc w:val="both"/>
        <w:rPr>
          <w:rFonts w:ascii="Calibri" w:hAnsi="Calibri"/>
        </w:rPr>
      </w:pPr>
    </w:p>
    <w:p w14:paraId="7FB0B160" w14:textId="77777777" w:rsidR="00DC69C7" w:rsidRDefault="00DC69C7">
      <w:pPr>
        <w:jc w:val="both"/>
        <w:rPr>
          <w:rFonts w:ascii="Calibri" w:hAnsi="Calibri"/>
        </w:rPr>
      </w:pPr>
    </w:p>
    <w:p w14:paraId="3891B194" w14:textId="77777777" w:rsidR="00DC69C7" w:rsidRDefault="00DC69C7">
      <w:pPr>
        <w:jc w:val="both"/>
        <w:rPr>
          <w:rFonts w:ascii="Calibri" w:hAnsi="Calibri"/>
        </w:rPr>
      </w:pPr>
    </w:p>
    <w:p w14:paraId="48563E6D" w14:textId="77777777" w:rsidR="00DC69C7" w:rsidRDefault="00DC69C7">
      <w:pPr>
        <w:jc w:val="both"/>
        <w:rPr>
          <w:rFonts w:ascii="Calibri" w:hAnsi="Calibri"/>
        </w:rPr>
      </w:pPr>
    </w:p>
    <w:p w14:paraId="2FA5B643" w14:textId="77777777" w:rsidR="00DC69C7" w:rsidRDefault="007C362B" w:rsidP="007C362B">
      <w:pPr>
        <w:jc w:val="both"/>
        <w:rPr>
          <w:rFonts w:ascii="Calibri" w:hAnsi="Calibri" w:cs="Arial"/>
          <w:b/>
          <w:bCs/>
          <w:color w:val="0070C0"/>
          <w:sz w:val="36"/>
          <w:szCs w:val="36"/>
        </w:rPr>
      </w:pPr>
      <w:r w:rsidRPr="007C362B">
        <w:rPr>
          <w:rFonts w:ascii="Calibri" w:hAnsi="Calibri" w:cs="Arial"/>
          <w:b/>
          <w:sz w:val="36"/>
          <w:szCs w:val="36"/>
        </w:rPr>
        <w:t>ACQUISIZIONE DI SOTTOSCRIZIONI DEI SOFTWARE S</w:t>
      </w:r>
      <w:r>
        <w:rPr>
          <w:rFonts w:ascii="Calibri" w:hAnsi="Calibri" w:cs="Arial"/>
          <w:b/>
          <w:sz w:val="36"/>
          <w:szCs w:val="36"/>
        </w:rPr>
        <w:t>P</w:t>
      </w:r>
      <w:r w:rsidRPr="007C362B">
        <w:rPr>
          <w:rFonts w:ascii="Calibri" w:hAnsi="Calibri" w:cs="Arial"/>
          <w:b/>
          <w:sz w:val="36"/>
          <w:szCs w:val="36"/>
        </w:rPr>
        <w:t>COOP ENTERPRISE E GOVWAY ENTERPRISE E RELATIVI SERVIZI DI MANUTENZIONE E SUPPORTO SPECIALISTICO</w:t>
      </w:r>
    </w:p>
    <w:p w14:paraId="034DF9F1" w14:textId="77777777" w:rsidR="00DC69C7" w:rsidRDefault="00DC69C7">
      <w:pPr>
        <w:rPr>
          <w:rFonts w:ascii="Calibri" w:hAnsi="Calibri" w:cs="Arial"/>
          <w:b/>
          <w:bCs/>
        </w:rPr>
      </w:pPr>
    </w:p>
    <w:p w14:paraId="617A3E9B" w14:textId="77777777" w:rsidR="00DC69C7" w:rsidRDefault="00DC69C7">
      <w:pPr>
        <w:rPr>
          <w:rFonts w:ascii="Calibri" w:hAnsi="Calibri" w:cs="Arial"/>
          <w:b/>
          <w:bCs/>
        </w:rPr>
      </w:pPr>
    </w:p>
    <w:p w14:paraId="29C0B906" w14:textId="77777777" w:rsidR="00DC69C7" w:rsidRDefault="00DC69C7">
      <w:pPr>
        <w:rPr>
          <w:rFonts w:ascii="Calibri" w:hAnsi="Calibri" w:cs="Arial"/>
          <w:b/>
          <w:bCs/>
        </w:rPr>
      </w:pPr>
    </w:p>
    <w:p w14:paraId="6186D732" w14:textId="77777777" w:rsidR="00DC69C7" w:rsidRDefault="00DC69C7">
      <w:pPr>
        <w:rPr>
          <w:rFonts w:ascii="Calibri" w:hAnsi="Calibri" w:cs="Arial"/>
          <w:b/>
          <w:bCs/>
        </w:rPr>
      </w:pPr>
    </w:p>
    <w:p w14:paraId="0CFA85F7" w14:textId="77777777" w:rsidR="00DC69C7" w:rsidRDefault="00DC69C7">
      <w:pPr>
        <w:rPr>
          <w:rFonts w:ascii="Calibri" w:hAnsi="Calibri" w:cs="Arial"/>
          <w:b/>
          <w:bCs/>
        </w:rPr>
      </w:pPr>
    </w:p>
    <w:p w14:paraId="01F1FE52" w14:textId="77777777" w:rsidR="00DC69C7" w:rsidRDefault="00DC69C7">
      <w:pPr>
        <w:jc w:val="both"/>
        <w:rPr>
          <w:rFonts w:ascii="Calibri" w:hAnsi="Calibri"/>
        </w:rPr>
      </w:pPr>
    </w:p>
    <w:p w14:paraId="3BB63BFF" w14:textId="77777777" w:rsidR="00DC69C7" w:rsidRDefault="00DC69C7">
      <w:pPr>
        <w:jc w:val="both"/>
        <w:rPr>
          <w:rFonts w:ascii="Calibri" w:hAnsi="Calibri"/>
        </w:rPr>
      </w:pPr>
    </w:p>
    <w:p w14:paraId="592885EC" w14:textId="77777777" w:rsidR="00DC69C7" w:rsidRDefault="00DC69C7">
      <w:pPr>
        <w:jc w:val="both"/>
        <w:rPr>
          <w:rFonts w:ascii="Calibri" w:hAnsi="Calibri"/>
        </w:rPr>
      </w:pPr>
    </w:p>
    <w:p w14:paraId="02A688E1" w14:textId="77777777" w:rsidR="00DC69C7" w:rsidRDefault="00DC69C7">
      <w:pPr>
        <w:pStyle w:val="Titolo4"/>
        <w:jc w:val="left"/>
        <w:rPr>
          <w:rFonts w:ascii="Calibri" w:hAnsi="Calibri" w:cs="Arial"/>
        </w:rPr>
      </w:pPr>
    </w:p>
    <w:p w14:paraId="49DDC08E"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5B30F6DB" w14:textId="77777777" w:rsidR="00DC69C7" w:rsidRDefault="00DC69C7">
      <w:pPr>
        <w:jc w:val="both"/>
        <w:rPr>
          <w:rFonts w:ascii="Calibri" w:hAnsi="Calibri"/>
          <w:sz w:val="20"/>
          <w:szCs w:val="20"/>
        </w:rPr>
      </w:pPr>
    </w:p>
    <w:p w14:paraId="007B164A" w14:textId="77777777" w:rsidR="00DC69C7" w:rsidRDefault="00DC69C7">
      <w:pPr>
        <w:spacing w:line="360" w:lineRule="auto"/>
        <w:rPr>
          <w:rFonts w:ascii="Calibri" w:hAnsi="Calibri" w:cs="Arial"/>
          <w:sz w:val="20"/>
          <w:szCs w:val="20"/>
        </w:rPr>
      </w:pPr>
    </w:p>
    <w:p w14:paraId="0D12C97C" w14:textId="77777777" w:rsidR="00DC69C7" w:rsidRDefault="00DC69C7">
      <w:pPr>
        <w:spacing w:line="360" w:lineRule="auto"/>
        <w:rPr>
          <w:rFonts w:ascii="Calibri" w:hAnsi="Calibri" w:cs="Arial"/>
          <w:sz w:val="20"/>
          <w:szCs w:val="20"/>
        </w:rPr>
      </w:pPr>
    </w:p>
    <w:p w14:paraId="24C86128" w14:textId="77777777" w:rsidR="00DC69C7" w:rsidRDefault="00DC69C7">
      <w:pPr>
        <w:spacing w:line="360" w:lineRule="auto"/>
        <w:rPr>
          <w:rFonts w:ascii="Calibri" w:hAnsi="Calibri" w:cs="Arial"/>
          <w:sz w:val="20"/>
          <w:szCs w:val="20"/>
        </w:rPr>
      </w:pPr>
    </w:p>
    <w:p w14:paraId="364408F8" w14:textId="77777777" w:rsidR="00DC69C7" w:rsidRDefault="00DC69C7">
      <w:pPr>
        <w:spacing w:line="360" w:lineRule="auto"/>
        <w:rPr>
          <w:rFonts w:ascii="Calibri" w:hAnsi="Calibri" w:cs="Arial"/>
          <w:sz w:val="20"/>
          <w:szCs w:val="20"/>
        </w:rPr>
      </w:pPr>
    </w:p>
    <w:p w14:paraId="6B18F496" w14:textId="77777777" w:rsidR="00DC69C7" w:rsidRDefault="00DC69C7">
      <w:pPr>
        <w:pStyle w:val="Titolo4"/>
        <w:jc w:val="left"/>
        <w:rPr>
          <w:rFonts w:ascii="Calibri" w:hAnsi="Calibri" w:cs="Arial"/>
          <w:sz w:val="20"/>
          <w:szCs w:val="20"/>
        </w:rPr>
      </w:pPr>
    </w:p>
    <w:p w14:paraId="376C0299" w14:textId="77777777" w:rsidR="00DC69C7" w:rsidRDefault="00DC69C7">
      <w:pPr>
        <w:pStyle w:val="Titolo4"/>
        <w:jc w:val="left"/>
        <w:rPr>
          <w:rFonts w:ascii="Calibri" w:hAnsi="Calibri" w:cs="Arial"/>
          <w:sz w:val="20"/>
          <w:szCs w:val="20"/>
        </w:rPr>
      </w:pPr>
    </w:p>
    <w:p w14:paraId="45AC74D5" w14:textId="77777777" w:rsidR="00DC69C7" w:rsidRDefault="00DC69C7"/>
    <w:p w14:paraId="040AF3A3"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3331690A" w14:textId="77777777" w:rsidR="00DC69C7" w:rsidRDefault="00DC69C7">
      <w:pPr>
        <w:spacing w:line="276" w:lineRule="auto"/>
        <w:jc w:val="both"/>
        <w:rPr>
          <w:rFonts w:asciiTheme="minorHAnsi" w:hAnsiTheme="minorHAnsi" w:cs="Arial"/>
          <w:bCs/>
          <w:sz w:val="20"/>
          <w:szCs w:val="20"/>
        </w:rPr>
      </w:pPr>
    </w:p>
    <w:p w14:paraId="099780A6" w14:textId="77777777" w:rsidR="007C362B" w:rsidRPr="00735A27" w:rsidRDefault="00DC24B0" w:rsidP="007C362B">
      <w:pPr>
        <w:spacing w:line="276" w:lineRule="auto"/>
        <w:jc w:val="both"/>
        <w:rPr>
          <w:rFonts w:asciiTheme="minorHAnsi" w:hAnsiTheme="minorHAnsi" w:cs="Arial"/>
          <w:bCs/>
          <w:sz w:val="20"/>
          <w:szCs w:val="20"/>
        </w:rPr>
      </w:pPr>
      <w:hyperlink r:id="rId8" w:history="1">
        <w:r w:rsidR="007C362B" w:rsidRPr="00F96B3D">
          <w:rPr>
            <w:rStyle w:val="Collegamentoipertestuale"/>
            <w:rFonts w:asciiTheme="minorHAnsi" w:hAnsiTheme="minorHAnsi"/>
            <w:sz w:val="20"/>
            <w:szCs w:val="22"/>
          </w:rPr>
          <w:t>ictconsip@postacert.consip.it</w:t>
        </w:r>
      </w:hyperlink>
    </w:p>
    <w:p w14:paraId="142F15E2" w14:textId="77777777" w:rsidR="00DC69C7" w:rsidRDefault="00DC69C7">
      <w:pPr>
        <w:spacing w:line="276" w:lineRule="auto"/>
        <w:jc w:val="both"/>
        <w:rPr>
          <w:rFonts w:asciiTheme="minorHAnsi" w:hAnsiTheme="minorHAnsi" w:cs="Arial"/>
          <w:bCs/>
          <w:sz w:val="20"/>
          <w:szCs w:val="20"/>
        </w:rPr>
      </w:pPr>
    </w:p>
    <w:p w14:paraId="6D672DB4" w14:textId="77777777" w:rsidR="00DC69C7" w:rsidRDefault="00DC69C7">
      <w:pPr>
        <w:spacing w:line="276" w:lineRule="auto"/>
        <w:jc w:val="both"/>
        <w:rPr>
          <w:rFonts w:asciiTheme="minorHAnsi" w:hAnsiTheme="minorHAnsi" w:cs="Arial"/>
          <w:bCs/>
          <w:color w:val="FF0000"/>
          <w:sz w:val="20"/>
          <w:szCs w:val="20"/>
        </w:rPr>
      </w:pPr>
    </w:p>
    <w:p w14:paraId="2A5151D8" w14:textId="77777777" w:rsidR="00DC69C7" w:rsidRDefault="00DC69C7">
      <w:pPr>
        <w:spacing w:line="276" w:lineRule="auto"/>
        <w:jc w:val="both"/>
        <w:rPr>
          <w:rFonts w:asciiTheme="minorHAnsi" w:hAnsiTheme="minorHAnsi" w:cs="Arial"/>
          <w:bCs/>
          <w:color w:val="FF0000"/>
          <w:sz w:val="20"/>
          <w:szCs w:val="20"/>
        </w:rPr>
      </w:pPr>
    </w:p>
    <w:p w14:paraId="0CBDA443" w14:textId="77777777" w:rsidR="00DC69C7" w:rsidRDefault="00DC69C7">
      <w:pPr>
        <w:spacing w:line="276" w:lineRule="auto"/>
        <w:jc w:val="both"/>
        <w:rPr>
          <w:rFonts w:asciiTheme="minorHAnsi" w:hAnsiTheme="minorHAnsi" w:cs="Arial"/>
          <w:bCs/>
          <w:color w:val="FF0000"/>
          <w:sz w:val="20"/>
          <w:szCs w:val="20"/>
        </w:rPr>
      </w:pPr>
    </w:p>
    <w:p w14:paraId="62535B2E" w14:textId="77777777" w:rsidR="00DC69C7" w:rsidRDefault="00DC69C7">
      <w:pPr>
        <w:spacing w:line="276" w:lineRule="auto"/>
        <w:jc w:val="both"/>
        <w:rPr>
          <w:rFonts w:asciiTheme="minorHAnsi" w:hAnsiTheme="minorHAnsi" w:cs="Arial"/>
          <w:bCs/>
          <w:color w:val="FF0000"/>
          <w:sz w:val="20"/>
          <w:szCs w:val="20"/>
        </w:rPr>
      </w:pPr>
    </w:p>
    <w:p w14:paraId="32DDE06F" w14:textId="06AA6560" w:rsidR="00DC69C7" w:rsidRDefault="00522FB0">
      <w:pPr>
        <w:spacing w:line="276" w:lineRule="auto"/>
        <w:jc w:val="both"/>
        <w:rPr>
          <w:rFonts w:asciiTheme="minorHAnsi" w:hAnsiTheme="minorHAnsi" w:cs="Arial"/>
          <w:bCs/>
          <w:color w:val="0070C0"/>
          <w:sz w:val="20"/>
          <w:szCs w:val="20"/>
        </w:rPr>
      </w:pPr>
      <w:r>
        <w:rPr>
          <w:rFonts w:asciiTheme="minorHAnsi" w:hAnsiTheme="minorHAnsi" w:cs="Arial"/>
          <w:bCs/>
          <w:sz w:val="20"/>
          <w:szCs w:val="20"/>
        </w:rPr>
        <w:t xml:space="preserve">Roma, </w:t>
      </w:r>
      <w:r w:rsidR="00E10718">
        <w:rPr>
          <w:rFonts w:asciiTheme="minorHAnsi" w:hAnsiTheme="minorHAnsi" w:cs="Arial"/>
          <w:bCs/>
          <w:sz w:val="20"/>
          <w:szCs w:val="20"/>
        </w:rPr>
        <w:t>06</w:t>
      </w:r>
      <w:r w:rsidRPr="00356F68">
        <w:rPr>
          <w:rFonts w:asciiTheme="minorHAnsi" w:hAnsiTheme="minorHAnsi" w:cs="Arial"/>
          <w:bCs/>
          <w:sz w:val="20"/>
          <w:szCs w:val="20"/>
        </w:rPr>
        <w:t>/</w:t>
      </w:r>
      <w:r w:rsidR="007C362B" w:rsidRPr="00356F68">
        <w:rPr>
          <w:rFonts w:asciiTheme="minorHAnsi" w:hAnsiTheme="minorHAnsi" w:cs="Arial"/>
          <w:bCs/>
          <w:sz w:val="20"/>
          <w:szCs w:val="20"/>
        </w:rPr>
        <w:t>0</w:t>
      </w:r>
      <w:r w:rsidR="00DD4834">
        <w:rPr>
          <w:rFonts w:asciiTheme="minorHAnsi" w:hAnsiTheme="minorHAnsi" w:cs="Arial"/>
          <w:bCs/>
          <w:sz w:val="20"/>
          <w:szCs w:val="20"/>
        </w:rPr>
        <w:t>9</w:t>
      </w:r>
      <w:r w:rsidRPr="00356F68">
        <w:rPr>
          <w:rFonts w:asciiTheme="minorHAnsi" w:hAnsiTheme="minorHAnsi" w:cs="Arial"/>
          <w:bCs/>
          <w:sz w:val="20"/>
          <w:szCs w:val="20"/>
        </w:rPr>
        <w:t>/</w:t>
      </w:r>
      <w:r w:rsidR="007C362B" w:rsidRPr="00356F68">
        <w:rPr>
          <w:rFonts w:asciiTheme="minorHAnsi" w:hAnsiTheme="minorHAnsi" w:cs="Arial"/>
          <w:bCs/>
          <w:sz w:val="20"/>
          <w:szCs w:val="20"/>
        </w:rPr>
        <w:t>2021</w:t>
      </w:r>
    </w:p>
    <w:p w14:paraId="04F7CB4F" w14:textId="77777777" w:rsidR="00DC69C7" w:rsidRDefault="00522FB0">
      <w:pPr>
        <w:pStyle w:val="Corpotesto"/>
        <w:jc w:val="left"/>
        <w:rPr>
          <w:rFonts w:ascii="Calibri" w:hAnsi="Calibri"/>
          <w:sz w:val="20"/>
        </w:rPr>
      </w:pPr>
      <w:r>
        <w:rPr>
          <w:rFonts w:ascii="Calibri" w:hAnsi="Calibri"/>
          <w:sz w:val="20"/>
        </w:rPr>
        <w:br w:type="page"/>
      </w:r>
    </w:p>
    <w:p w14:paraId="313F4607"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636E5A73" w14:textId="77777777" w:rsidR="00DC69C7" w:rsidRDefault="00522FB0">
      <w:pPr>
        <w:spacing w:after="120" w:line="276" w:lineRule="auto"/>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all’acquisizione di </w:t>
      </w:r>
      <w:r w:rsidR="007C362B" w:rsidRPr="009229EC">
        <w:rPr>
          <w:rFonts w:asciiTheme="minorHAnsi" w:hAnsiTheme="minorHAnsi" w:cs="Arial"/>
          <w:sz w:val="20"/>
          <w:szCs w:val="20"/>
        </w:rPr>
        <w:t xml:space="preserve">sottoscrizioni dei software </w:t>
      </w:r>
      <w:proofErr w:type="spellStart"/>
      <w:r w:rsidR="007C362B" w:rsidRPr="009229EC">
        <w:rPr>
          <w:rFonts w:asciiTheme="minorHAnsi" w:hAnsiTheme="minorHAnsi" w:cs="Arial"/>
          <w:sz w:val="20"/>
          <w:szCs w:val="20"/>
        </w:rPr>
        <w:t>SPCoop</w:t>
      </w:r>
      <w:proofErr w:type="spellEnd"/>
      <w:r w:rsidR="007C362B" w:rsidRPr="009229EC">
        <w:rPr>
          <w:rFonts w:asciiTheme="minorHAnsi" w:hAnsiTheme="minorHAnsi" w:cs="Arial"/>
          <w:sz w:val="20"/>
          <w:szCs w:val="20"/>
        </w:rPr>
        <w:t xml:space="preserve"> Enterprise e </w:t>
      </w:r>
      <w:proofErr w:type="spellStart"/>
      <w:r w:rsidR="007C362B" w:rsidRPr="009229EC">
        <w:rPr>
          <w:rFonts w:asciiTheme="minorHAnsi" w:hAnsiTheme="minorHAnsi" w:cs="Arial"/>
          <w:sz w:val="20"/>
          <w:szCs w:val="20"/>
        </w:rPr>
        <w:t>GovWay</w:t>
      </w:r>
      <w:proofErr w:type="spellEnd"/>
      <w:r w:rsidR="007C362B" w:rsidRPr="009229EC">
        <w:rPr>
          <w:rFonts w:asciiTheme="minorHAnsi" w:hAnsiTheme="minorHAnsi" w:cs="Arial"/>
          <w:sz w:val="20"/>
          <w:szCs w:val="20"/>
        </w:rPr>
        <w:t xml:space="preserve"> Enterprise e relativi servizi di manutenzione e supporto specialistico</w:t>
      </w:r>
      <w:r w:rsidR="00DC32FE">
        <w:rPr>
          <w:rFonts w:asciiTheme="minorHAnsi" w:hAnsiTheme="minorHAnsi" w:cs="Arial"/>
          <w:sz w:val="20"/>
          <w:szCs w:val="20"/>
        </w:rPr>
        <w:t>.</w:t>
      </w:r>
    </w:p>
    <w:p w14:paraId="1B90DACD"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1F26A8F7" w14:textId="77777777"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292CD1F1"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377EC598"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156F3728"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66A3B253"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30FD0E38"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14:paraId="77173BAE" w14:textId="7CFEF0AB" w:rsidR="00DC69C7" w:rsidRDefault="00522FB0">
      <w:pPr>
        <w:spacing w:before="120" w:after="120" w:line="276" w:lineRule="auto"/>
        <w:jc w:val="both"/>
        <w:rPr>
          <w:rFonts w:ascii="Calibri" w:hAnsi="Calibri" w:cs="Arial"/>
          <w:i/>
          <w:color w:val="0000FF"/>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sidRPr="00DC32FE">
        <w:rPr>
          <w:rFonts w:asciiTheme="minorHAnsi" w:hAnsiTheme="minorHAnsi" w:cs="Arial"/>
          <w:b/>
          <w:bCs/>
          <w:sz w:val="20"/>
          <w:szCs w:val="20"/>
          <w:u w:val="single"/>
        </w:rPr>
        <w:t>15 giorni solari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Pr>
            <w:rStyle w:val="Collegamentoipertestuale"/>
            <w:rFonts w:asciiTheme="minorHAnsi" w:hAnsiTheme="minorHAnsi"/>
          </w:rPr>
          <w:softHyphen/>
        </w:r>
        <w:r>
          <w:rPr>
            <w:rStyle w:val="Collegamentoipertestuale"/>
            <w:rFonts w:asciiTheme="minorHAnsi" w:hAnsiTheme="minorHAnsi"/>
          </w:rPr>
          <w:softHyphen/>
        </w:r>
        <w:r>
          <w:rPr>
            <w:rStyle w:val="Collegamentoipertestuale"/>
            <w:rFonts w:asciiTheme="minorHAnsi" w:hAnsiTheme="minorHAnsi"/>
          </w:rPr>
          <w:softHyphen/>
        </w:r>
        <w:hyperlink r:id="rId10" w:history="1">
          <w:r w:rsidR="009229EC" w:rsidRPr="00F96B3D">
            <w:rPr>
              <w:rStyle w:val="Collegamentoipertestuale"/>
              <w:rFonts w:asciiTheme="minorHAnsi" w:hAnsiTheme="minorHAnsi"/>
              <w:sz w:val="20"/>
              <w:szCs w:val="22"/>
            </w:rPr>
            <w:t>ictconsip@postacert.consip.it</w:t>
          </w:r>
        </w:hyperlink>
      </w:hyperlink>
      <w:r>
        <w:rPr>
          <w:rFonts w:asciiTheme="minorHAnsi" w:hAnsiTheme="minorHAnsi" w:cs="Arial"/>
          <w:bCs/>
          <w:sz w:val="20"/>
          <w:szCs w:val="20"/>
        </w:rPr>
        <w:t xml:space="preserve"> </w:t>
      </w:r>
      <w:r w:rsidRPr="009229EC">
        <w:rPr>
          <w:rFonts w:asciiTheme="minorHAnsi" w:hAnsiTheme="minorHAnsi" w:cs="Arial"/>
          <w:bCs/>
          <w:sz w:val="20"/>
          <w:szCs w:val="20"/>
        </w:rPr>
        <w:t>specificando nell’oggetto della e-mail: “</w:t>
      </w:r>
      <w:r w:rsidR="0044517A" w:rsidRPr="0044517A">
        <w:rPr>
          <w:rFonts w:asciiTheme="minorHAnsi" w:hAnsiTheme="minorHAnsi" w:cs="Arial"/>
          <w:bCs/>
          <w:i/>
          <w:sz w:val="20"/>
          <w:szCs w:val="20"/>
        </w:rPr>
        <w:t xml:space="preserve">ID 2460 - </w:t>
      </w:r>
      <w:r w:rsidR="009229EC" w:rsidRPr="0044517A">
        <w:rPr>
          <w:rFonts w:asciiTheme="minorHAnsi" w:hAnsiTheme="minorHAnsi" w:cs="Arial"/>
          <w:bCs/>
          <w:i/>
          <w:sz w:val="20"/>
          <w:szCs w:val="20"/>
        </w:rPr>
        <w:t xml:space="preserve">Acquisizione di sottoscrizioni dei software </w:t>
      </w:r>
      <w:proofErr w:type="spellStart"/>
      <w:r w:rsidR="009229EC" w:rsidRPr="0044517A">
        <w:rPr>
          <w:rFonts w:asciiTheme="minorHAnsi" w:hAnsiTheme="minorHAnsi" w:cs="Arial"/>
          <w:bCs/>
          <w:i/>
          <w:sz w:val="20"/>
          <w:szCs w:val="20"/>
        </w:rPr>
        <w:t>SPCoop</w:t>
      </w:r>
      <w:proofErr w:type="spellEnd"/>
      <w:r w:rsidR="009229EC" w:rsidRPr="0044517A">
        <w:rPr>
          <w:rFonts w:asciiTheme="minorHAnsi" w:hAnsiTheme="minorHAnsi" w:cs="Arial"/>
          <w:bCs/>
          <w:i/>
          <w:sz w:val="20"/>
          <w:szCs w:val="20"/>
        </w:rPr>
        <w:t xml:space="preserve"> Enterprise e </w:t>
      </w:r>
      <w:proofErr w:type="spellStart"/>
      <w:r w:rsidR="009229EC" w:rsidRPr="0044517A">
        <w:rPr>
          <w:rFonts w:asciiTheme="minorHAnsi" w:hAnsiTheme="minorHAnsi" w:cs="Arial"/>
          <w:bCs/>
          <w:i/>
          <w:sz w:val="20"/>
          <w:szCs w:val="20"/>
        </w:rPr>
        <w:t>GovWay</w:t>
      </w:r>
      <w:proofErr w:type="spellEnd"/>
      <w:r w:rsidR="009229EC" w:rsidRPr="0044517A">
        <w:rPr>
          <w:rFonts w:asciiTheme="minorHAnsi" w:hAnsiTheme="minorHAnsi" w:cs="Arial"/>
          <w:bCs/>
          <w:i/>
          <w:sz w:val="20"/>
          <w:szCs w:val="20"/>
        </w:rPr>
        <w:t xml:space="preserve"> Enterprise e relativi servizi di manutenzione e supporto specialistico</w:t>
      </w:r>
      <w:r w:rsidR="009229EC">
        <w:rPr>
          <w:rFonts w:asciiTheme="minorHAnsi" w:hAnsiTheme="minorHAnsi" w:cs="Arial"/>
          <w:bCs/>
          <w:i/>
          <w:sz w:val="20"/>
          <w:szCs w:val="20"/>
        </w:rPr>
        <w:t>”</w:t>
      </w:r>
      <w:r w:rsidR="00E07131">
        <w:rPr>
          <w:rFonts w:asciiTheme="minorHAnsi" w:hAnsiTheme="minorHAnsi" w:cs="Arial"/>
          <w:bCs/>
          <w:i/>
          <w:sz w:val="20"/>
          <w:szCs w:val="20"/>
        </w:rPr>
        <w:t>.</w:t>
      </w:r>
    </w:p>
    <w:p w14:paraId="51596B09"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6E6C169A"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43AC0616" w14:textId="77777777"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1D97A97B" w14:textId="77777777">
        <w:tc>
          <w:tcPr>
            <w:tcW w:w="3321" w:type="dxa"/>
            <w:vAlign w:val="center"/>
          </w:tcPr>
          <w:p w14:paraId="39724273"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6F6C020D"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323C4CA" w14:textId="77777777">
        <w:tc>
          <w:tcPr>
            <w:tcW w:w="3321" w:type="dxa"/>
            <w:vAlign w:val="center"/>
          </w:tcPr>
          <w:p w14:paraId="5E4D97CB"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61C524D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9F03745" w14:textId="77777777">
        <w:tc>
          <w:tcPr>
            <w:tcW w:w="3321" w:type="dxa"/>
            <w:vAlign w:val="center"/>
          </w:tcPr>
          <w:p w14:paraId="6E41746A"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601BEA16"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EF3F49B" w14:textId="77777777">
        <w:tc>
          <w:tcPr>
            <w:tcW w:w="3321" w:type="dxa"/>
            <w:vAlign w:val="center"/>
          </w:tcPr>
          <w:p w14:paraId="7F850D6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2E604997"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04BEC11" w14:textId="77777777">
        <w:tc>
          <w:tcPr>
            <w:tcW w:w="3321" w:type="dxa"/>
            <w:vAlign w:val="center"/>
          </w:tcPr>
          <w:p w14:paraId="2FFBB47A"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664781D0"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8E289C5" w14:textId="77777777">
        <w:tc>
          <w:tcPr>
            <w:tcW w:w="3321" w:type="dxa"/>
            <w:vAlign w:val="center"/>
          </w:tcPr>
          <w:p w14:paraId="5BAC2A6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76E3B6A3"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26E121E" w14:textId="77777777">
        <w:tc>
          <w:tcPr>
            <w:tcW w:w="3321" w:type="dxa"/>
            <w:vAlign w:val="center"/>
          </w:tcPr>
          <w:p w14:paraId="45CC1C77"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426CC929"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26E5535" w14:textId="77777777">
        <w:tc>
          <w:tcPr>
            <w:tcW w:w="3321" w:type="dxa"/>
            <w:vAlign w:val="center"/>
          </w:tcPr>
          <w:p w14:paraId="33B9FC24"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010AB27F"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2DC78608" w14:textId="77777777" w:rsidR="00DC69C7" w:rsidRDefault="00DC69C7">
      <w:pPr>
        <w:pStyle w:val="Titolo1"/>
        <w:numPr>
          <w:ilvl w:val="0"/>
          <w:numId w:val="0"/>
        </w:numPr>
        <w:jc w:val="both"/>
        <w:rPr>
          <w:rFonts w:ascii="Calibri" w:hAnsi="Calibri"/>
          <w:i/>
          <w:sz w:val="20"/>
          <w:szCs w:val="20"/>
        </w:rPr>
      </w:pPr>
    </w:p>
    <w:p w14:paraId="5A6DB397"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3D8F7F69"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517AF51" w14:textId="77777777" w:rsidR="00DC69C7" w:rsidRDefault="00DC69C7">
      <w:pPr>
        <w:spacing w:line="276" w:lineRule="auto"/>
        <w:jc w:val="both"/>
        <w:rPr>
          <w:rFonts w:asciiTheme="minorHAnsi" w:hAnsiTheme="minorHAnsi"/>
          <w:sz w:val="20"/>
          <w:szCs w:val="20"/>
        </w:rPr>
      </w:pPr>
    </w:p>
    <w:p w14:paraId="38AD9DE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778F7AD6"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56684E5D" w14:textId="77777777" w:rsidR="00DC69C7" w:rsidRDefault="00DC69C7">
      <w:pPr>
        <w:spacing w:line="276" w:lineRule="auto"/>
        <w:jc w:val="both"/>
        <w:rPr>
          <w:rFonts w:asciiTheme="minorHAnsi" w:hAnsiTheme="minorHAnsi"/>
          <w:sz w:val="20"/>
          <w:szCs w:val="20"/>
        </w:rPr>
      </w:pPr>
    </w:p>
    <w:p w14:paraId="7A9331E7"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BEE6F3D" w14:textId="77777777" w:rsidR="00DC69C7" w:rsidRDefault="00DC69C7">
      <w:pPr>
        <w:spacing w:line="276" w:lineRule="auto"/>
        <w:jc w:val="both"/>
        <w:rPr>
          <w:rFonts w:asciiTheme="minorHAnsi" w:hAnsiTheme="minorHAnsi"/>
          <w:sz w:val="20"/>
          <w:szCs w:val="20"/>
        </w:rPr>
      </w:pPr>
    </w:p>
    <w:p w14:paraId="052E6EF9"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61640B04"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6077A02"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77E08B98" w14:textId="77777777" w:rsidR="00DC69C7" w:rsidRDefault="00DC69C7">
      <w:pPr>
        <w:spacing w:line="276" w:lineRule="auto"/>
        <w:jc w:val="both"/>
        <w:rPr>
          <w:rFonts w:asciiTheme="minorHAnsi" w:hAnsiTheme="minorHAnsi"/>
          <w:sz w:val="20"/>
          <w:szCs w:val="20"/>
        </w:rPr>
      </w:pPr>
    </w:p>
    <w:p w14:paraId="7C58437F"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612253F3" w14:textId="77777777" w:rsidR="00DC69C7" w:rsidRDefault="00522FB0">
      <w:pPr>
        <w:rPr>
          <w:rFonts w:ascii="Calibri" w:hAnsi="Calibri"/>
          <w:b/>
        </w:rPr>
      </w:pPr>
      <w:r>
        <w:rPr>
          <w:rFonts w:ascii="Calibri" w:hAnsi="Calibri"/>
        </w:rPr>
        <w:br w:type="page"/>
      </w:r>
    </w:p>
    <w:p w14:paraId="7CFB7202" w14:textId="77777777" w:rsidR="00DC69C7" w:rsidRDefault="00522FB0">
      <w:pPr>
        <w:pStyle w:val="Titolo1"/>
        <w:numPr>
          <w:ilvl w:val="0"/>
          <w:numId w:val="0"/>
        </w:numPr>
        <w:rPr>
          <w:rFonts w:ascii="Calibri" w:hAnsi="Calibri"/>
          <w:szCs w:val="22"/>
        </w:rPr>
      </w:pPr>
      <w:r>
        <w:rPr>
          <w:rFonts w:ascii="Calibri" w:hAnsi="Calibri"/>
          <w:szCs w:val="22"/>
        </w:rPr>
        <w:lastRenderedPageBreak/>
        <w:t>Oggetto dell’iniziativa</w:t>
      </w:r>
    </w:p>
    <w:p w14:paraId="5551A3AC" w14:textId="77777777" w:rsidR="008E51DB" w:rsidRPr="008E51DB" w:rsidRDefault="008E51DB" w:rsidP="008E51DB"/>
    <w:p w14:paraId="3800DB85" w14:textId="77777777" w:rsidR="00DC69C7" w:rsidRPr="008E51DB" w:rsidRDefault="008E51DB">
      <w:pPr>
        <w:spacing w:line="276" w:lineRule="auto"/>
        <w:rPr>
          <w:rFonts w:ascii="Calibri" w:hAnsi="Calibri" w:cs="Calibri"/>
          <w:b/>
          <w:i/>
          <w:color w:val="000000" w:themeColor="text1"/>
          <w:sz w:val="20"/>
          <w:szCs w:val="20"/>
        </w:rPr>
      </w:pPr>
      <w:r w:rsidRPr="008E51DB">
        <w:rPr>
          <w:rFonts w:ascii="Calibri" w:hAnsi="Calibri" w:cs="Calibri"/>
          <w:b/>
          <w:i/>
          <w:color w:val="000000" w:themeColor="text1"/>
          <w:sz w:val="20"/>
          <w:szCs w:val="20"/>
        </w:rPr>
        <w:t>Informazioni Generali</w:t>
      </w:r>
    </w:p>
    <w:p w14:paraId="13F25596" w14:textId="77777777" w:rsidR="008617E3" w:rsidRPr="00AA4BFE" w:rsidRDefault="008617E3" w:rsidP="008617E3">
      <w:pPr>
        <w:spacing w:line="360" w:lineRule="auto"/>
        <w:jc w:val="both"/>
        <w:rPr>
          <w:rFonts w:asciiTheme="minorHAnsi" w:hAnsiTheme="minorHAnsi"/>
          <w:sz w:val="20"/>
          <w:szCs w:val="20"/>
        </w:rPr>
      </w:pPr>
      <w:r w:rsidRPr="00AA4BFE">
        <w:rPr>
          <w:rFonts w:asciiTheme="minorHAnsi" w:hAnsiTheme="minorHAnsi"/>
          <w:sz w:val="20"/>
          <w:szCs w:val="20"/>
        </w:rPr>
        <w:t>L’inf</w:t>
      </w:r>
      <w:r w:rsidR="00CC3269">
        <w:rPr>
          <w:rFonts w:asciiTheme="minorHAnsi" w:hAnsiTheme="minorHAnsi"/>
          <w:sz w:val="20"/>
          <w:szCs w:val="20"/>
        </w:rPr>
        <w:t>rastruttura di Porta di Dominio risulta attualmente</w:t>
      </w:r>
      <w:r w:rsidRPr="00AA4BFE">
        <w:rPr>
          <w:rFonts w:asciiTheme="minorHAnsi" w:hAnsiTheme="minorHAnsi"/>
          <w:sz w:val="20"/>
          <w:szCs w:val="20"/>
        </w:rPr>
        <w:t xml:space="preserve"> </w:t>
      </w:r>
      <w:r>
        <w:rPr>
          <w:rFonts w:asciiTheme="minorHAnsi" w:hAnsiTheme="minorHAnsi"/>
          <w:sz w:val="20"/>
          <w:szCs w:val="20"/>
        </w:rPr>
        <w:t>utilizzata sia dalla divisione Finanze che dalla divisione E</w:t>
      </w:r>
      <w:r w:rsidRPr="00AA4BFE">
        <w:rPr>
          <w:rFonts w:asciiTheme="minorHAnsi" w:hAnsiTheme="minorHAnsi"/>
          <w:sz w:val="20"/>
          <w:szCs w:val="20"/>
        </w:rPr>
        <w:t>conomia</w:t>
      </w:r>
      <w:r>
        <w:rPr>
          <w:rFonts w:asciiTheme="minorHAnsi" w:hAnsiTheme="minorHAnsi"/>
          <w:sz w:val="20"/>
          <w:szCs w:val="20"/>
        </w:rPr>
        <w:t xml:space="preserve"> di </w:t>
      </w:r>
      <w:r w:rsidR="0047592A">
        <w:rPr>
          <w:rFonts w:asciiTheme="minorHAnsi" w:hAnsiTheme="minorHAnsi"/>
          <w:sz w:val="20"/>
          <w:szCs w:val="20"/>
        </w:rPr>
        <w:t>SOGEI</w:t>
      </w:r>
      <w:r>
        <w:rPr>
          <w:rFonts w:asciiTheme="minorHAnsi" w:hAnsiTheme="minorHAnsi"/>
          <w:sz w:val="20"/>
          <w:szCs w:val="20"/>
        </w:rPr>
        <w:t xml:space="preserve"> S.p.A.</w:t>
      </w:r>
      <w:r w:rsidR="00873D29">
        <w:rPr>
          <w:rFonts w:asciiTheme="minorHAnsi" w:hAnsiTheme="minorHAnsi"/>
          <w:sz w:val="20"/>
          <w:szCs w:val="20"/>
        </w:rPr>
        <w:t xml:space="preserve"> </w:t>
      </w:r>
      <w:r w:rsidR="00CC3269">
        <w:rPr>
          <w:rFonts w:asciiTheme="minorHAnsi" w:hAnsiTheme="minorHAnsi"/>
          <w:sz w:val="20"/>
          <w:szCs w:val="20"/>
        </w:rPr>
        <w:t xml:space="preserve">ed </w:t>
      </w:r>
      <w:r>
        <w:rPr>
          <w:rFonts w:asciiTheme="minorHAnsi" w:hAnsiTheme="minorHAnsi"/>
          <w:sz w:val="20"/>
          <w:szCs w:val="20"/>
        </w:rPr>
        <w:t>è</w:t>
      </w:r>
      <w:r w:rsidRPr="00AA4BFE">
        <w:rPr>
          <w:rFonts w:asciiTheme="minorHAnsi" w:hAnsiTheme="minorHAnsi"/>
          <w:sz w:val="20"/>
          <w:szCs w:val="20"/>
        </w:rPr>
        <w:t xml:space="preserve"> basa</w:t>
      </w:r>
      <w:r>
        <w:rPr>
          <w:rFonts w:asciiTheme="minorHAnsi" w:hAnsiTheme="minorHAnsi"/>
          <w:sz w:val="20"/>
          <w:szCs w:val="20"/>
        </w:rPr>
        <w:t>ta</w:t>
      </w:r>
      <w:r w:rsidRPr="00AA4BFE">
        <w:rPr>
          <w:rFonts w:asciiTheme="minorHAnsi" w:hAnsiTheme="minorHAnsi"/>
          <w:sz w:val="20"/>
          <w:szCs w:val="20"/>
        </w:rPr>
        <w:t xml:space="preserve"> sul prodotto </w:t>
      </w:r>
      <w:proofErr w:type="spellStart"/>
      <w:r w:rsidRPr="00AA4BFE">
        <w:rPr>
          <w:rFonts w:asciiTheme="minorHAnsi" w:hAnsiTheme="minorHAnsi"/>
          <w:sz w:val="20"/>
          <w:szCs w:val="20"/>
        </w:rPr>
        <w:t>OpenSPCoop</w:t>
      </w:r>
      <w:proofErr w:type="spellEnd"/>
      <w:r w:rsidRPr="00AA4BFE">
        <w:rPr>
          <w:rFonts w:asciiTheme="minorHAnsi" w:hAnsiTheme="minorHAnsi"/>
          <w:sz w:val="20"/>
          <w:szCs w:val="20"/>
        </w:rPr>
        <w:t xml:space="preserve"> Enterprise della società Link.IT.</w:t>
      </w:r>
    </w:p>
    <w:p w14:paraId="52CA0DEB" w14:textId="77777777" w:rsidR="008617E3" w:rsidRDefault="008617E3" w:rsidP="008617E3">
      <w:pPr>
        <w:spacing w:line="360" w:lineRule="auto"/>
        <w:jc w:val="both"/>
        <w:rPr>
          <w:rFonts w:asciiTheme="minorHAnsi" w:hAnsiTheme="minorHAnsi"/>
          <w:sz w:val="20"/>
          <w:szCs w:val="20"/>
        </w:rPr>
      </w:pPr>
      <w:r w:rsidRPr="00AA4BFE">
        <w:rPr>
          <w:rFonts w:asciiTheme="minorHAnsi" w:hAnsiTheme="minorHAnsi"/>
          <w:sz w:val="20"/>
          <w:szCs w:val="20"/>
        </w:rPr>
        <w:t xml:space="preserve">La divisione Finanze gestisce 8 Porte di Dominio su cui sono configurati </w:t>
      </w:r>
      <w:r>
        <w:rPr>
          <w:rFonts w:asciiTheme="minorHAnsi" w:hAnsiTheme="minorHAnsi"/>
          <w:sz w:val="20"/>
          <w:szCs w:val="20"/>
        </w:rPr>
        <w:t>34</w:t>
      </w:r>
      <w:r w:rsidRPr="00AA4BFE">
        <w:rPr>
          <w:rFonts w:asciiTheme="minorHAnsi" w:hAnsiTheme="minorHAnsi"/>
          <w:sz w:val="20"/>
          <w:szCs w:val="20"/>
        </w:rPr>
        <w:t xml:space="preserve"> servizi </w:t>
      </w:r>
      <w:r>
        <w:rPr>
          <w:rFonts w:asciiTheme="minorHAnsi" w:hAnsiTheme="minorHAnsi"/>
          <w:sz w:val="20"/>
          <w:szCs w:val="20"/>
        </w:rPr>
        <w:t xml:space="preserve">erogatori e 75 servizi fruitori, mentre la </w:t>
      </w:r>
      <w:r w:rsidRPr="00AA4BFE">
        <w:rPr>
          <w:rFonts w:asciiTheme="minorHAnsi" w:hAnsiTheme="minorHAnsi"/>
          <w:sz w:val="20"/>
          <w:szCs w:val="20"/>
        </w:rPr>
        <w:t>divisione Economia gestisce la Porta di Dominio del MEF su cui sono configurati 39 servizi erogatori e 67 servizi fruitori</w:t>
      </w:r>
      <w:r>
        <w:rPr>
          <w:rFonts w:asciiTheme="minorHAnsi" w:hAnsiTheme="minorHAnsi"/>
          <w:sz w:val="20"/>
          <w:szCs w:val="20"/>
        </w:rPr>
        <w:t>.</w:t>
      </w:r>
    </w:p>
    <w:p w14:paraId="2C84D394" w14:textId="77777777" w:rsidR="0047592A" w:rsidRDefault="0047592A" w:rsidP="008617E3">
      <w:pPr>
        <w:spacing w:line="360" w:lineRule="auto"/>
        <w:jc w:val="both"/>
        <w:rPr>
          <w:rFonts w:asciiTheme="minorHAnsi" w:hAnsiTheme="minorHAnsi"/>
          <w:sz w:val="20"/>
          <w:szCs w:val="20"/>
        </w:rPr>
      </w:pPr>
      <w:r w:rsidRPr="0047592A">
        <w:rPr>
          <w:rFonts w:asciiTheme="minorHAnsi" w:hAnsiTheme="minorHAnsi"/>
          <w:sz w:val="20"/>
          <w:szCs w:val="20"/>
        </w:rPr>
        <w:t xml:space="preserve">A seguito del rilascio del nuovo modello di interoperabilità di </w:t>
      </w:r>
      <w:proofErr w:type="spellStart"/>
      <w:r w:rsidRPr="0047592A">
        <w:rPr>
          <w:rFonts w:asciiTheme="minorHAnsi" w:hAnsiTheme="minorHAnsi"/>
          <w:sz w:val="20"/>
          <w:szCs w:val="20"/>
        </w:rPr>
        <w:t>A</w:t>
      </w:r>
      <w:r w:rsidR="008E51DB">
        <w:rPr>
          <w:rFonts w:asciiTheme="minorHAnsi" w:hAnsiTheme="minorHAnsi"/>
          <w:sz w:val="20"/>
          <w:szCs w:val="20"/>
        </w:rPr>
        <w:t>g</w:t>
      </w:r>
      <w:r w:rsidRPr="0047592A">
        <w:rPr>
          <w:rFonts w:asciiTheme="minorHAnsi" w:hAnsiTheme="minorHAnsi"/>
          <w:sz w:val="20"/>
          <w:szCs w:val="20"/>
        </w:rPr>
        <w:t>ID</w:t>
      </w:r>
      <w:proofErr w:type="spellEnd"/>
      <w:r w:rsidRPr="0047592A">
        <w:rPr>
          <w:rFonts w:asciiTheme="minorHAnsi" w:hAnsiTheme="minorHAnsi"/>
          <w:sz w:val="20"/>
          <w:szCs w:val="20"/>
        </w:rPr>
        <w:t xml:space="preserve"> (in breve </w:t>
      </w:r>
      <w:proofErr w:type="spellStart"/>
      <w:r w:rsidRPr="0047592A">
        <w:rPr>
          <w:rFonts w:asciiTheme="minorHAnsi" w:hAnsiTheme="minorHAnsi"/>
          <w:sz w:val="20"/>
          <w:szCs w:val="20"/>
        </w:rPr>
        <w:t>ModI</w:t>
      </w:r>
      <w:proofErr w:type="spellEnd"/>
      <w:r w:rsidRPr="0047592A">
        <w:rPr>
          <w:rFonts w:asciiTheme="minorHAnsi" w:hAnsiTheme="minorHAnsi"/>
          <w:sz w:val="20"/>
          <w:szCs w:val="20"/>
        </w:rPr>
        <w:t>), Link.</w:t>
      </w:r>
      <w:r w:rsidR="00873D29">
        <w:rPr>
          <w:rFonts w:asciiTheme="minorHAnsi" w:hAnsiTheme="minorHAnsi"/>
          <w:sz w:val="20"/>
          <w:szCs w:val="20"/>
        </w:rPr>
        <w:t>IT</w:t>
      </w:r>
      <w:r w:rsidRPr="0047592A">
        <w:rPr>
          <w:rFonts w:asciiTheme="minorHAnsi" w:hAnsiTheme="minorHAnsi"/>
          <w:sz w:val="20"/>
          <w:szCs w:val="20"/>
        </w:rPr>
        <w:t xml:space="preserve"> ha rilasciato una nuova versione del software, </w:t>
      </w:r>
      <w:proofErr w:type="spellStart"/>
      <w:r w:rsidRPr="0047592A">
        <w:rPr>
          <w:rFonts w:asciiTheme="minorHAnsi" w:hAnsiTheme="minorHAnsi"/>
          <w:sz w:val="20"/>
          <w:szCs w:val="20"/>
        </w:rPr>
        <w:t>GovWay</w:t>
      </w:r>
      <w:proofErr w:type="spellEnd"/>
      <w:r w:rsidRPr="0047592A">
        <w:rPr>
          <w:rFonts w:asciiTheme="minorHAnsi" w:hAnsiTheme="minorHAnsi"/>
          <w:sz w:val="20"/>
          <w:szCs w:val="20"/>
        </w:rPr>
        <w:t xml:space="preserve"> Enterprise, che include il supporto completo delle specifiche </w:t>
      </w:r>
      <w:proofErr w:type="spellStart"/>
      <w:r w:rsidRPr="0047592A">
        <w:rPr>
          <w:rFonts w:asciiTheme="minorHAnsi" w:hAnsiTheme="minorHAnsi"/>
          <w:sz w:val="20"/>
          <w:szCs w:val="20"/>
        </w:rPr>
        <w:t>ModI</w:t>
      </w:r>
      <w:proofErr w:type="spellEnd"/>
      <w:r w:rsidRPr="0047592A">
        <w:rPr>
          <w:rFonts w:asciiTheme="minorHAnsi" w:hAnsiTheme="minorHAnsi"/>
          <w:sz w:val="20"/>
          <w:szCs w:val="20"/>
        </w:rPr>
        <w:t xml:space="preserve">. </w:t>
      </w:r>
      <w:r>
        <w:rPr>
          <w:rFonts w:asciiTheme="minorHAnsi" w:hAnsiTheme="minorHAnsi"/>
          <w:sz w:val="20"/>
          <w:szCs w:val="20"/>
        </w:rPr>
        <w:t xml:space="preserve">SOGEI ha quindi </w:t>
      </w:r>
      <w:r w:rsidRPr="0047592A">
        <w:rPr>
          <w:rFonts w:asciiTheme="minorHAnsi" w:hAnsiTheme="minorHAnsi"/>
          <w:sz w:val="20"/>
          <w:szCs w:val="20"/>
        </w:rPr>
        <w:t xml:space="preserve">utilizzato </w:t>
      </w:r>
      <w:proofErr w:type="spellStart"/>
      <w:r w:rsidRPr="0047592A">
        <w:rPr>
          <w:rFonts w:asciiTheme="minorHAnsi" w:hAnsiTheme="minorHAnsi"/>
          <w:sz w:val="20"/>
          <w:szCs w:val="20"/>
        </w:rPr>
        <w:t>GovWay</w:t>
      </w:r>
      <w:proofErr w:type="spellEnd"/>
      <w:r w:rsidRPr="0047592A">
        <w:rPr>
          <w:rFonts w:asciiTheme="minorHAnsi" w:hAnsiTheme="minorHAnsi"/>
          <w:sz w:val="20"/>
          <w:szCs w:val="20"/>
        </w:rPr>
        <w:t xml:space="preserve"> Enterprise per realizzare la </w:t>
      </w:r>
      <w:r w:rsidRPr="00035E42">
        <w:rPr>
          <w:rFonts w:asciiTheme="minorHAnsi" w:hAnsiTheme="minorHAnsi"/>
          <w:sz w:val="20"/>
          <w:szCs w:val="20"/>
        </w:rPr>
        <w:t>nuova infrastruttura di cooperazione applicativa,</w:t>
      </w:r>
      <w:r w:rsidRPr="0047592A">
        <w:rPr>
          <w:rFonts w:asciiTheme="minorHAnsi" w:hAnsiTheme="minorHAnsi"/>
          <w:sz w:val="20"/>
          <w:szCs w:val="20"/>
        </w:rPr>
        <w:t xml:space="preserve"> che si affianca all’infrastruttura esistente di Porta di Dominio, </w:t>
      </w:r>
      <w:r>
        <w:rPr>
          <w:rFonts w:asciiTheme="minorHAnsi" w:hAnsiTheme="minorHAnsi"/>
          <w:sz w:val="20"/>
          <w:szCs w:val="20"/>
        </w:rPr>
        <w:t>assicurando</w:t>
      </w:r>
      <w:r w:rsidRPr="0047592A">
        <w:rPr>
          <w:rFonts w:asciiTheme="minorHAnsi" w:hAnsiTheme="minorHAnsi"/>
          <w:sz w:val="20"/>
          <w:szCs w:val="20"/>
        </w:rPr>
        <w:t xml:space="preserve"> </w:t>
      </w:r>
      <w:r w:rsidR="008E51DB">
        <w:rPr>
          <w:rFonts w:asciiTheme="minorHAnsi" w:hAnsiTheme="minorHAnsi"/>
          <w:sz w:val="20"/>
          <w:szCs w:val="20"/>
        </w:rPr>
        <w:t xml:space="preserve">quindi </w:t>
      </w:r>
      <w:r w:rsidRPr="0047592A">
        <w:rPr>
          <w:rFonts w:asciiTheme="minorHAnsi" w:hAnsiTheme="minorHAnsi"/>
          <w:sz w:val="20"/>
          <w:szCs w:val="20"/>
        </w:rPr>
        <w:t xml:space="preserve">il supporto </w:t>
      </w:r>
      <w:r>
        <w:rPr>
          <w:rFonts w:asciiTheme="minorHAnsi" w:hAnsiTheme="minorHAnsi"/>
          <w:sz w:val="20"/>
          <w:szCs w:val="20"/>
        </w:rPr>
        <w:t>alle nuove specifiche.</w:t>
      </w:r>
    </w:p>
    <w:p w14:paraId="7EB59B1F" w14:textId="77777777" w:rsidR="0047592A" w:rsidRPr="00873D29" w:rsidRDefault="0047592A" w:rsidP="008617E3">
      <w:pPr>
        <w:spacing w:line="360" w:lineRule="auto"/>
        <w:jc w:val="both"/>
        <w:rPr>
          <w:rFonts w:asciiTheme="minorHAnsi" w:hAnsiTheme="minorHAnsi"/>
          <w:sz w:val="20"/>
          <w:szCs w:val="20"/>
        </w:rPr>
      </w:pPr>
      <w:r w:rsidRPr="00873D29">
        <w:rPr>
          <w:rFonts w:asciiTheme="minorHAnsi" w:hAnsiTheme="minorHAnsi"/>
          <w:sz w:val="20"/>
          <w:szCs w:val="20"/>
        </w:rPr>
        <w:t>C</w:t>
      </w:r>
      <w:r w:rsidR="00035E42">
        <w:rPr>
          <w:rFonts w:asciiTheme="minorHAnsi" w:hAnsiTheme="minorHAnsi"/>
          <w:sz w:val="20"/>
          <w:szCs w:val="20"/>
        </w:rPr>
        <w:t>onsiderando la necessità di</w:t>
      </w:r>
      <w:r w:rsidRPr="00873D29">
        <w:rPr>
          <w:rFonts w:asciiTheme="minorHAnsi" w:hAnsiTheme="minorHAnsi"/>
          <w:sz w:val="20"/>
          <w:szCs w:val="20"/>
        </w:rPr>
        <w:t>:</w:t>
      </w:r>
    </w:p>
    <w:p w14:paraId="180CE39C" w14:textId="77777777" w:rsidR="0047592A" w:rsidRPr="00873D29" w:rsidRDefault="0047592A" w:rsidP="00873D29">
      <w:pPr>
        <w:pStyle w:val="Paragrafoelenco"/>
        <w:numPr>
          <w:ilvl w:val="0"/>
          <w:numId w:val="14"/>
        </w:numPr>
        <w:spacing w:line="360" w:lineRule="auto"/>
        <w:jc w:val="both"/>
        <w:rPr>
          <w:rFonts w:asciiTheme="minorHAnsi" w:hAnsiTheme="minorHAnsi"/>
          <w:sz w:val="20"/>
          <w:szCs w:val="20"/>
        </w:rPr>
      </w:pPr>
      <w:r w:rsidRPr="00873D29">
        <w:rPr>
          <w:rFonts w:asciiTheme="minorHAnsi" w:hAnsiTheme="minorHAnsi"/>
          <w:sz w:val="20"/>
          <w:szCs w:val="20"/>
        </w:rPr>
        <w:t xml:space="preserve">assicurare per i nuovi fruitori l’applicazione di modalità di fruizione conformi alla nuova specifica </w:t>
      </w:r>
      <w:proofErr w:type="spellStart"/>
      <w:r w:rsidRPr="00873D29">
        <w:rPr>
          <w:rFonts w:asciiTheme="minorHAnsi" w:hAnsiTheme="minorHAnsi"/>
          <w:sz w:val="20"/>
          <w:szCs w:val="20"/>
        </w:rPr>
        <w:t>ModI</w:t>
      </w:r>
      <w:proofErr w:type="spellEnd"/>
      <w:r w:rsidRPr="00873D29">
        <w:rPr>
          <w:rFonts w:asciiTheme="minorHAnsi" w:hAnsiTheme="minorHAnsi"/>
          <w:sz w:val="20"/>
          <w:szCs w:val="20"/>
        </w:rPr>
        <w:t>;</w:t>
      </w:r>
    </w:p>
    <w:p w14:paraId="41848827" w14:textId="77777777" w:rsidR="0047592A" w:rsidRDefault="0047592A" w:rsidP="00873D29">
      <w:pPr>
        <w:pStyle w:val="Paragrafoelenco"/>
        <w:numPr>
          <w:ilvl w:val="0"/>
          <w:numId w:val="14"/>
        </w:numPr>
        <w:spacing w:line="360" w:lineRule="auto"/>
        <w:jc w:val="both"/>
        <w:rPr>
          <w:rFonts w:asciiTheme="minorHAnsi" w:hAnsiTheme="minorHAnsi"/>
          <w:sz w:val="20"/>
          <w:szCs w:val="20"/>
        </w:rPr>
      </w:pPr>
      <w:r w:rsidRPr="00873D29">
        <w:rPr>
          <w:rFonts w:asciiTheme="minorHAnsi" w:hAnsiTheme="minorHAnsi"/>
          <w:sz w:val="20"/>
          <w:szCs w:val="20"/>
        </w:rPr>
        <w:t xml:space="preserve">prevedere, a valle di una valutazione di impatto che consideri la sicurezza dei servizi e l’effetto sui fruitori, la dismissione delle modalità difformi </w:t>
      </w:r>
      <w:r w:rsidR="00CC3269">
        <w:rPr>
          <w:rFonts w:asciiTheme="minorHAnsi" w:hAnsiTheme="minorHAnsi"/>
          <w:sz w:val="20"/>
          <w:szCs w:val="20"/>
        </w:rPr>
        <w:t xml:space="preserve">rispetto </w:t>
      </w:r>
      <w:r w:rsidR="008E51DB">
        <w:rPr>
          <w:rFonts w:asciiTheme="minorHAnsi" w:hAnsiTheme="minorHAnsi"/>
          <w:sz w:val="20"/>
          <w:szCs w:val="20"/>
        </w:rPr>
        <w:t>alle nuove specifiche</w:t>
      </w:r>
      <w:r w:rsidR="00035E42">
        <w:rPr>
          <w:rFonts w:asciiTheme="minorHAnsi" w:hAnsiTheme="minorHAnsi"/>
          <w:sz w:val="20"/>
          <w:szCs w:val="20"/>
        </w:rPr>
        <w:t>;</w:t>
      </w:r>
    </w:p>
    <w:p w14:paraId="146807A7" w14:textId="77777777" w:rsidR="00CC3269" w:rsidRPr="00CC3269" w:rsidRDefault="00CC3269" w:rsidP="00CC3269">
      <w:pPr>
        <w:pStyle w:val="Paragrafoelenco"/>
        <w:spacing w:line="360" w:lineRule="auto"/>
        <w:jc w:val="both"/>
        <w:rPr>
          <w:rFonts w:asciiTheme="minorHAnsi" w:hAnsiTheme="minorHAnsi"/>
          <w:sz w:val="4"/>
          <w:szCs w:val="4"/>
        </w:rPr>
      </w:pPr>
    </w:p>
    <w:p w14:paraId="75FA5015" w14:textId="672052DD" w:rsidR="0047592A" w:rsidRDefault="0047592A" w:rsidP="0047592A">
      <w:pPr>
        <w:spacing w:line="360" w:lineRule="auto"/>
        <w:jc w:val="both"/>
        <w:rPr>
          <w:rFonts w:asciiTheme="minorHAnsi" w:hAnsiTheme="minorHAnsi"/>
          <w:sz w:val="20"/>
          <w:szCs w:val="20"/>
        </w:rPr>
      </w:pPr>
      <w:r w:rsidRPr="00E10718">
        <w:rPr>
          <w:rFonts w:asciiTheme="minorHAnsi" w:hAnsiTheme="minorHAnsi"/>
          <w:sz w:val="20"/>
          <w:szCs w:val="20"/>
        </w:rPr>
        <w:t xml:space="preserve">si rende necessario far coesistere entrambe le piattaforme, </w:t>
      </w:r>
      <w:r w:rsidR="00CC3269" w:rsidRPr="00E10718">
        <w:rPr>
          <w:rFonts w:asciiTheme="minorHAnsi" w:hAnsiTheme="minorHAnsi"/>
          <w:sz w:val="20"/>
          <w:szCs w:val="20"/>
        </w:rPr>
        <w:t xml:space="preserve">ossia quella relativa alla nuova infrastruttura di cooperazione applicativa e quella relativa all’infrastruttura esistente di Porta di Dominio, </w:t>
      </w:r>
      <w:r w:rsidRPr="00E10718">
        <w:rPr>
          <w:rFonts w:asciiTheme="minorHAnsi" w:hAnsiTheme="minorHAnsi"/>
          <w:sz w:val="20"/>
          <w:szCs w:val="20"/>
        </w:rPr>
        <w:t>rendendo progressivamente disponibili i servizi sulla nuova piattaforma</w:t>
      </w:r>
      <w:r w:rsidR="00E10718">
        <w:rPr>
          <w:rFonts w:asciiTheme="minorHAnsi" w:hAnsiTheme="minorHAnsi"/>
          <w:sz w:val="20"/>
          <w:szCs w:val="20"/>
        </w:rPr>
        <w:t xml:space="preserve"> e</w:t>
      </w:r>
      <w:r w:rsidRPr="00E10718">
        <w:rPr>
          <w:rFonts w:asciiTheme="minorHAnsi" w:hAnsiTheme="minorHAnsi"/>
          <w:sz w:val="20"/>
          <w:szCs w:val="20"/>
        </w:rPr>
        <w:t>, prevedendo</w:t>
      </w:r>
      <w:r w:rsidR="00CC3269" w:rsidRPr="00E10718">
        <w:rPr>
          <w:rFonts w:asciiTheme="minorHAnsi" w:hAnsiTheme="minorHAnsi"/>
          <w:sz w:val="20"/>
          <w:szCs w:val="20"/>
        </w:rPr>
        <w:t>, al contempo,</w:t>
      </w:r>
      <w:r w:rsidRPr="00E10718">
        <w:rPr>
          <w:rFonts w:asciiTheme="minorHAnsi" w:hAnsiTheme="minorHAnsi"/>
          <w:sz w:val="20"/>
          <w:szCs w:val="20"/>
        </w:rPr>
        <w:t xml:space="preserve"> la dismissione dei servizi operativi su Porta di Domino</w:t>
      </w:r>
      <w:r w:rsidR="00E10718">
        <w:rPr>
          <w:rFonts w:asciiTheme="minorHAnsi" w:hAnsiTheme="minorHAnsi"/>
          <w:sz w:val="20"/>
          <w:szCs w:val="20"/>
        </w:rPr>
        <w:t>,</w:t>
      </w:r>
      <w:r w:rsidRPr="00E10718">
        <w:rPr>
          <w:rFonts w:asciiTheme="minorHAnsi" w:hAnsiTheme="minorHAnsi"/>
          <w:sz w:val="20"/>
          <w:szCs w:val="20"/>
        </w:rPr>
        <w:t xml:space="preserve"> a valle di una valutazione di impatto da effettuare servizio per servizio.</w:t>
      </w:r>
    </w:p>
    <w:p w14:paraId="1EDF1B3C" w14:textId="77777777" w:rsidR="008E51DB" w:rsidRDefault="008E51DB" w:rsidP="0047592A">
      <w:pPr>
        <w:spacing w:line="360" w:lineRule="auto"/>
        <w:jc w:val="both"/>
        <w:rPr>
          <w:rFonts w:asciiTheme="minorHAnsi" w:hAnsiTheme="minorHAnsi"/>
          <w:sz w:val="20"/>
          <w:szCs w:val="20"/>
        </w:rPr>
      </w:pPr>
    </w:p>
    <w:p w14:paraId="70248BF5" w14:textId="77777777" w:rsidR="008617E3" w:rsidRPr="008E51DB" w:rsidRDefault="008E51DB">
      <w:pPr>
        <w:spacing w:line="276" w:lineRule="auto"/>
        <w:rPr>
          <w:rFonts w:ascii="Calibri" w:hAnsi="Calibri" w:cs="Calibri"/>
          <w:b/>
          <w:i/>
          <w:color w:val="000000" w:themeColor="text1"/>
          <w:sz w:val="20"/>
          <w:szCs w:val="20"/>
        </w:rPr>
      </w:pPr>
      <w:r w:rsidRPr="008E51DB">
        <w:rPr>
          <w:rFonts w:ascii="Calibri" w:hAnsi="Calibri" w:cs="Calibri"/>
          <w:b/>
          <w:i/>
          <w:color w:val="000000" w:themeColor="text1"/>
          <w:sz w:val="20"/>
          <w:szCs w:val="20"/>
        </w:rPr>
        <w:t>Descrizione dell’esigenza</w:t>
      </w:r>
    </w:p>
    <w:p w14:paraId="451A3AED" w14:textId="77777777" w:rsidR="00873D29" w:rsidRDefault="00873D29" w:rsidP="00873D29">
      <w:pPr>
        <w:spacing w:line="360" w:lineRule="auto"/>
        <w:jc w:val="both"/>
        <w:rPr>
          <w:rFonts w:asciiTheme="minorHAnsi" w:hAnsiTheme="minorHAnsi"/>
          <w:sz w:val="20"/>
          <w:szCs w:val="20"/>
        </w:rPr>
      </w:pPr>
      <w:r w:rsidRPr="00611F6E">
        <w:rPr>
          <w:rFonts w:asciiTheme="minorHAnsi" w:hAnsiTheme="minorHAnsi"/>
          <w:sz w:val="20"/>
          <w:szCs w:val="20"/>
        </w:rPr>
        <w:t>In continuità con i precedenti contratti</w:t>
      </w:r>
      <w:r>
        <w:rPr>
          <w:rFonts w:asciiTheme="minorHAnsi" w:hAnsiTheme="minorHAnsi"/>
          <w:sz w:val="20"/>
          <w:szCs w:val="20"/>
        </w:rPr>
        <w:t xml:space="preserve"> i prodotti/servizi richiesti sono:</w:t>
      </w:r>
    </w:p>
    <w:p w14:paraId="1A5378EE" w14:textId="77777777" w:rsidR="00873D29" w:rsidRPr="00CC3269" w:rsidRDefault="00873D29" w:rsidP="00CC3269">
      <w:pPr>
        <w:pStyle w:val="Paragrafoelenco"/>
        <w:numPr>
          <w:ilvl w:val="0"/>
          <w:numId w:val="16"/>
        </w:numPr>
        <w:spacing w:line="360" w:lineRule="auto"/>
        <w:jc w:val="both"/>
        <w:rPr>
          <w:rFonts w:asciiTheme="minorHAnsi" w:hAnsiTheme="minorHAnsi"/>
          <w:sz w:val="20"/>
          <w:szCs w:val="20"/>
        </w:rPr>
      </w:pPr>
      <w:r w:rsidRPr="00CC3269">
        <w:rPr>
          <w:rFonts w:asciiTheme="minorHAnsi" w:hAnsiTheme="minorHAnsi"/>
          <w:sz w:val="20"/>
          <w:szCs w:val="20"/>
        </w:rPr>
        <w:t>per la</w:t>
      </w:r>
      <w:r w:rsidRPr="00CC3269">
        <w:rPr>
          <w:rFonts w:asciiTheme="minorHAnsi" w:hAnsiTheme="minorHAnsi"/>
          <w:b/>
          <w:sz w:val="20"/>
          <w:szCs w:val="20"/>
        </w:rPr>
        <w:t xml:space="preserve"> divisione Finanze</w:t>
      </w:r>
      <w:r w:rsidRPr="00CC3269">
        <w:rPr>
          <w:rFonts w:asciiTheme="minorHAnsi" w:hAnsiTheme="minorHAnsi"/>
          <w:sz w:val="20"/>
          <w:szCs w:val="20"/>
        </w:rPr>
        <w:t>:</w:t>
      </w:r>
    </w:p>
    <w:p w14:paraId="000D4332" w14:textId="7C54B478" w:rsidR="00873D29" w:rsidRDefault="00873D29" w:rsidP="008E51DB">
      <w:pPr>
        <w:pStyle w:val="Paragrafoelenco"/>
        <w:numPr>
          <w:ilvl w:val="1"/>
          <w:numId w:val="17"/>
        </w:numPr>
        <w:spacing w:line="360" w:lineRule="auto"/>
        <w:jc w:val="both"/>
        <w:rPr>
          <w:rFonts w:asciiTheme="minorHAnsi" w:hAnsiTheme="minorHAnsi"/>
          <w:sz w:val="20"/>
          <w:szCs w:val="20"/>
        </w:rPr>
      </w:pPr>
      <w:proofErr w:type="spellStart"/>
      <w:r w:rsidRPr="00873D29">
        <w:rPr>
          <w:rFonts w:asciiTheme="minorHAnsi" w:hAnsiTheme="minorHAnsi"/>
          <w:sz w:val="20"/>
          <w:szCs w:val="20"/>
        </w:rPr>
        <w:t>Govway</w:t>
      </w:r>
      <w:proofErr w:type="spellEnd"/>
      <w:r w:rsidRPr="00873D29">
        <w:rPr>
          <w:rFonts w:asciiTheme="minorHAnsi" w:hAnsiTheme="minorHAnsi"/>
          <w:sz w:val="20"/>
          <w:szCs w:val="20"/>
        </w:rPr>
        <w:t xml:space="preserve"> Enterprise – n. 2 sottoscrizioni (1 per Agenzie Fiscali e 1 per </w:t>
      </w:r>
      <w:r w:rsidR="00A25E52">
        <w:rPr>
          <w:rFonts w:asciiTheme="minorHAnsi" w:hAnsiTheme="minorHAnsi"/>
          <w:sz w:val="20"/>
          <w:szCs w:val="20"/>
        </w:rPr>
        <w:t>l</w:t>
      </w:r>
      <w:r w:rsidR="00A25E52" w:rsidRPr="00873D29">
        <w:rPr>
          <w:rFonts w:asciiTheme="minorHAnsi" w:hAnsiTheme="minorHAnsi"/>
          <w:sz w:val="20"/>
          <w:szCs w:val="20"/>
        </w:rPr>
        <w:t>'Anagrafe Nazionale della Popolazione Residente</w:t>
      </w:r>
      <w:r w:rsidR="00A25E52">
        <w:rPr>
          <w:rFonts w:asciiTheme="minorHAnsi" w:hAnsiTheme="minorHAnsi"/>
          <w:sz w:val="20"/>
          <w:szCs w:val="20"/>
        </w:rPr>
        <w:t>(</w:t>
      </w:r>
      <w:r w:rsidR="00A25E52" w:rsidRPr="00873D29">
        <w:rPr>
          <w:rFonts w:asciiTheme="minorHAnsi" w:hAnsiTheme="minorHAnsi"/>
          <w:sz w:val="20"/>
          <w:szCs w:val="20"/>
        </w:rPr>
        <w:t>ANPR</w:t>
      </w:r>
      <w:r w:rsidR="00A25E52">
        <w:rPr>
          <w:rFonts w:asciiTheme="minorHAnsi" w:hAnsiTheme="minorHAnsi"/>
          <w:sz w:val="20"/>
          <w:szCs w:val="20"/>
        </w:rPr>
        <w:t>)</w:t>
      </w:r>
      <w:r w:rsidRPr="00873D29">
        <w:rPr>
          <w:rFonts w:asciiTheme="minorHAnsi" w:hAnsiTheme="minorHAnsi"/>
          <w:sz w:val="20"/>
          <w:szCs w:val="20"/>
        </w:rPr>
        <w:t>);</w:t>
      </w:r>
    </w:p>
    <w:p w14:paraId="17D7839F" w14:textId="7AF53AC4" w:rsidR="00873D29" w:rsidRPr="00873D29" w:rsidRDefault="00873D29" w:rsidP="008E51DB">
      <w:pPr>
        <w:pStyle w:val="Paragrafoelenco"/>
        <w:numPr>
          <w:ilvl w:val="1"/>
          <w:numId w:val="17"/>
        </w:numPr>
        <w:spacing w:line="360" w:lineRule="auto"/>
        <w:jc w:val="both"/>
        <w:rPr>
          <w:rFonts w:asciiTheme="minorHAnsi" w:hAnsiTheme="minorHAnsi"/>
          <w:sz w:val="20"/>
          <w:szCs w:val="20"/>
        </w:rPr>
      </w:pPr>
      <w:r w:rsidRPr="00873D29">
        <w:rPr>
          <w:rFonts w:asciiTheme="minorHAnsi" w:hAnsiTheme="minorHAnsi"/>
          <w:sz w:val="20"/>
          <w:szCs w:val="20"/>
        </w:rPr>
        <w:t xml:space="preserve">Modulo Monitoraggio Applicativo per </w:t>
      </w:r>
      <w:proofErr w:type="spellStart"/>
      <w:r w:rsidRPr="00873D29">
        <w:rPr>
          <w:rFonts w:asciiTheme="minorHAnsi" w:hAnsiTheme="minorHAnsi"/>
          <w:sz w:val="20"/>
          <w:szCs w:val="20"/>
        </w:rPr>
        <w:t>GovWay</w:t>
      </w:r>
      <w:proofErr w:type="spellEnd"/>
      <w:r w:rsidRPr="00873D29">
        <w:rPr>
          <w:rFonts w:asciiTheme="minorHAnsi" w:hAnsiTheme="minorHAnsi"/>
          <w:sz w:val="20"/>
          <w:szCs w:val="20"/>
        </w:rPr>
        <w:t xml:space="preserve"> Enterprise – n. 2 sottoscrizioni (1 per Agenzie Fiscali e 1 per ANPR</w:t>
      </w:r>
      <w:r>
        <w:rPr>
          <w:rFonts w:asciiTheme="minorHAnsi" w:hAnsiTheme="minorHAnsi"/>
          <w:sz w:val="20"/>
          <w:szCs w:val="20"/>
        </w:rPr>
        <w:t>)</w:t>
      </w:r>
      <w:r w:rsidRPr="00873D29">
        <w:rPr>
          <w:rFonts w:asciiTheme="minorHAnsi" w:hAnsiTheme="minorHAnsi"/>
          <w:sz w:val="20"/>
          <w:szCs w:val="20"/>
        </w:rPr>
        <w:t>;</w:t>
      </w:r>
    </w:p>
    <w:p w14:paraId="41E135EB" w14:textId="77777777" w:rsidR="00873D29" w:rsidRPr="00873D29" w:rsidRDefault="00873D29" w:rsidP="008E51DB">
      <w:pPr>
        <w:pStyle w:val="Paragrafoelenco"/>
        <w:numPr>
          <w:ilvl w:val="1"/>
          <w:numId w:val="17"/>
        </w:numPr>
        <w:spacing w:line="360" w:lineRule="auto"/>
        <w:jc w:val="both"/>
        <w:rPr>
          <w:rFonts w:asciiTheme="minorHAnsi" w:hAnsiTheme="minorHAnsi"/>
          <w:sz w:val="20"/>
          <w:szCs w:val="20"/>
        </w:rPr>
      </w:pPr>
      <w:r w:rsidRPr="00873D29">
        <w:rPr>
          <w:rFonts w:asciiTheme="minorHAnsi" w:hAnsiTheme="minorHAnsi"/>
          <w:sz w:val="20"/>
          <w:szCs w:val="20"/>
        </w:rPr>
        <w:t xml:space="preserve">Porta di Dominio </w:t>
      </w:r>
      <w:proofErr w:type="spellStart"/>
      <w:r w:rsidRPr="00873D29">
        <w:rPr>
          <w:rFonts w:asciiTheme="minorHAnsi" w:hAnsiTheme="minorHAnsi"/>
          <w:sz w:val="20"/>
          <w:szCs w:val="20"/>
        </w:rPr>
        <w:t>OpenSPCoop</w:t>
      </w:r>
      <w:proofErr w:type="spellEnd"/>
      <w:r w:rsidRPr="00873D29">
        <w:rPr>
          <w:rFonts w:asciiTheme="minorHAnsi" w:hAnsiTheme="minorHAnsi"/>
          <w:sz w:val="20"/>
          <w:szCs w:val="20"/>
        </w:rPr>
        <w:t xml:space="preserve"> Enterprise – n. 2 sottoscrizioni (1 per Agenzie Fiscali e 1 per ANPR);</w:t>
      </w:r>
    </w:p>
    <w:p w14:paraId="77DE409E" w14:textId="77777777" w:rsidR="00873D29" w:rsidRPr="00873D29" w:rsidRDefault="00873D29" w:rsidP="008E51DB">
      <w:pPr>
        <w:pStyle w:val="Paragrafoelenco"/>
        <w:numPr>
          <w:ilvl w:val="1"/>
          <w:numId w:val="17"/>
        </w:numPr>
        <w:spacing w:line="360" w:lineRule="auto"/>
        <w:jc w:val="both"/>
        <w:rPr>
          <w:rFonts w:asciiTheme="minorHAnsi" w:hAnsiTheme="minorHAnsi"/>
          <w:sz w:val="20"/>
          <w:szCs w:val="20"/>
        </w:rPr>
      </w:pPr>
      <w:r w:rsidRPr="00873D29">
        <w:rPr>
          <w:rFonts w:asciiTheme="minorHAnsi" w:hAnsiTheme="minorHAnsi"/>
          <w:sz w:val="20"/>
          <w:szCs w:val="20"/>
        </w:rPr>
        <w:lastRenderedPageBreak/>
        <w:t xml:space="preserve">Modulo Monitoraggio Applicativo per </w:t>
      </w:r>
      <w:proofErr w:type="spellStart"/>
      <w:r w:rsidRPr="00873D29">
        <w:rPr>
          <w:rFonts w:asciiTheme="minorHAnsi" w:hAnsiTheme="minorHAnsi"/>
          <w:sz w:val="20"/>
          <w:szCs w:val="20"/>
        </w:rPr>
        <w:t>OpenSPCoop</w:t>
      </w:r>
      <w:proofErr w:type="spellEnd"/>
      <w:r w:rsidRPr="00873D29">
        <w:rPr>
          <w:rFonts w:asciiTheme="minorHAnsi" w:hAnsiTheme="minorHAnsi"/>
          <w:sz w:val="20"/>
          <w:szCs w:val="20"/>
        </w:rPr>
        <w:t xml:space="preserve"> Enterprise – n. 2 sottoscrizioni (1 per Agenzie Fiscali e 1 per </w:t>
      </w:r>
      <w:r>
        <w:rPr>
          <w:rFonts w:asciiTheme="minorHAnsi" w:hAnsiTheme="minorHAnsi"/>
          <w:sz w:val="20"/>
          <w:szCs w:val="20"/>
        </w:rPr>
        <w:t>APNR</w:t>
      </w:r>
      <w:r w:rsidRPr="00873D29">
        <w:rPr>
          <w:rFonts w:asciiTheme="minorHAnsi" w:hAnsiTheme="minorHAnsi"/>
          <w:sz w:val="20"/>
          <w:szCs w:val="20"/>
        </w:rPr>
        <w:t>);</w:t>
      </w:r>
    </w:p>
    <w:p w14:paraId="2461E9A2" w14:textId="77777777" w:rsidR="00873D29" w:rsidRPr="00AA4BFE" w:rsidRDefault="00873D29" w:rsidP="008E51DB">
      <w:pPr>
        <w:pStyle w:val="Paragrafoelenco"/>
        <w:numPr>
          <w:ilvl w:val="1"/>
          <w:numId w:val="17"/>
        </w:numPr>
        <w:spacing w:line="360" w:lineRule="auto"/>
        <w:jc w:val="both"/>
        <w:rPr>
          <w:rFonts w:asciiTheme="minorHAnsi" w:hAnsiTheme="minorHAnsi"/>
          <w:sz w:val="20"/>
          <w:szCs w:val="20"/>
        </w:rPr>
      </w:pPr>
      <w:r w:rsidRPr="00873D29">
        <w:rPr>
          <w:rFonts w:asciiTheme="minorHAnsi" w:hAnsiTheme="minorHAnsi"/>
          <w:sz w:val="20"/>
          <w:szCs w:val="20"/>
        </w:rPr>
        <w:t xml:space="preserve">Giornata on center – Product </w:t>
      </w:r>
      <w:proofErr w:type="spellStart"/>
      <w:r w:rsidRPr="00873D29">
        <w:rPr>
          <w:rFonts w:asciiTheme="minorHAnsi" w:hAnsiTheme="minorHAnsi"/>
          <w:sz w:val="20"/>
          <w:szCs w:val="20"/>
        </w:rPr>
        <w:t>Specialist</w:t>
      </w:r>
      <w:proofErr w:type="spellEnd"/>
      <w:r w:rsidRPr="00873D29">
        <w:rPr>
          <w:rFonts w:asciiTheme="minorHAnsi" w:hAnsiTheme="minorHAnsi"/>
          <w:sz w:val="20"/>
          <w:szCs w:val="20"/>
        </w:rPr>
        <w:t xml:space="preserve"> – n. 150 giornate annue.</w:t>
      </w:r>
    </w:p>
    <w:p w14:paraId="5B4CA59F" w14:textId="77777777" w:rsidR="00873D29" w:rsidRDefault="00873D29" w:rsidP="008E51DB">
      <w:pPr>
        <w:spacing w:line="276" w:lineRule="auto"/>
        <w:jc w:val="both"/>
      </w:pPr>
    </w:p>
    <w:p w14:paraId="267AA053" w14:textId="77777777" w:rsidR="00873D29" w:rsidRDefault="00873D29" w:rsidP="008E51DB">
      <w:pPr>
        <w:pStyle w:val="Paragrafoelenco"/>
        <w:numPr>
          <w:ilvl w:val="0"/>
          <w:numId w:val="16"/>
        </w:numPr>
        <w:spacing w:line="360" w:lineRule="auto"/>
        <w:jc w:val="both"/>
        <w:rPr>
          <w:rFonts w:asciiTheme="minorHAnsi" w:hAnsiTheme="minorHAnsi"/>
          <w:sz w:val="20"/>
          <w:szCs w:val="20"/>
        </w:rPr>
      </w:pPr>
      <w:r w:rsidRPr="00EF58E9">
        <w:rPr>
          <w:rFonts w:asciiTheme="minorHAnsi" w:hAnsiTheme="minorHAnsi"/>
          <w:sz w:val="20"/>
          <w:szCs w:val="20"/>
        </w:rPr>
        <w:t>per la</w:t>
      </w:r>
      <w:r w:rsidRPr="00CC3269">
        <w:rPr>
          <w:rFonts w:asciiTheme="minorHAnsi" w:hAnsiTheme="minorHAnsi"/>
          <w:sz w:val="20"/>
          <w:szCs w:val="20"/>
        </w:rPr>
        <w:t xml:space="preserve"> </w:t>
      </w:r>
      <w:r w:rsidRPr="009555D5">
        <w:rPr>
          <w:rFonts w:asciiTheme="minorHAnsi" w:hAnsiTheme="minorHAnsi"/>
          <w:b/>
          <w:sz w:val="20"/>
          <w:szCs w:val="20"/>
        </w:rPr>
        <w:t>divisione Economia</w:t>
      </w:r>
      <w:r w:rsidRPr="00AA4BFE">
        <w:rPr>
          <w:rFonts w:asciiTheme="minorHAnsi" w:hAnsiTheme="minorHAnsi"/>
          <w:sz w:val="20"/>
          <w:szCs w:val="20"/>
        </w:rPr>
        <w:t>:</w:t>
      </w:r>
    </w:p>
    <w:p w14:paraId="496568A4" w14:textId="77777777" w:rsidR="00873D29" w:rsidRPr="00873D29" w:rsidRDefault="00873D29" w:rsidP="008E51DB">
      <w:pPr>
        <w:pStyle w:val="Paragrafoelenco"/>
        <w:numPr>
          <w:ilvl w:val="1"/>
          <w:numId w:val="18"/>
        </w:numPr>
        <w:spacing w:line="360" w:lineRule="auto"/>
        <w:jc w:val="both"/>
        <w:rPr>
          <w:rFonts w:asciiTheme="minorHAnsi" w:hAnsiTheme="minorHAnsi"/>
          <w:sz w:val="20"/>
          <w:szCs w:val="20"/>
        </w:rPr>
      </w:pPr>
      <w:proofErr w:type="spellStart"/>
      <w:r w:rsidRPr="00873D29">
        <w:rPr>
          <w:rFonts w:asciiTheme="minorHAnsi" w:hAnsiTheme="minorHAnsi"/>
          <w:sz w:val="20"/>
          <w:szCs w:val="20"/>
        </w:rPr>
        <w:t>Govway</w:t>
      </w:r>
      <w:proofErr w:type="spellEnd"/>
      <w:r w:rsidRPr="00873D29">
        <w:rPr>
          <w:rFonts w:asciiTheme="minorHAnsi" w:hAnsiTheme="minorHAnsi"/>
          <w:sz w:val="20"/>
          <w:szCs w:val="20"/>
        </w:rPr>
        <w:t xml:space="preserve"> Enterprise – n. 1 sottoscrizione;</w:t>
      </w:r>
    </w:p>
    <w:p w14:paraId="526C4946" w14:textId="77777777" w:rsidR="00873D29" w:rsidRPr="00873D29" w:rsidRDefault="00873D29" w:rsidP="008E51DB">
      <w:pPr>
        <w:pStyle w:val="Paragrafoelenco"/>
        <w:numPr>
          <w:ilvl w:val="1"/>
          <w:numId w:val="18"/>
        </w:numPr>
        <w:spacing w:line="360" w:lineRule="auto"/>
        <w:jc w:val="both"/>
        <w:rPr>
          <w:rFonts w:asciiTheme="minorHAnsi" w:hAnsiTheme="minorHAnsi"/>
          <w:sz w:val="20"/>
          <w:szCs w:val="20"/>
        </w:rPr>
      </w:pPr>
      <w:r w:rsidRPr="00873D29">
        <w:rPr>
          <w:rFonts w:asciiTheme="minorHAnsi" w:hAnsiTheme="minorHAnsi"/>
          <w:sz w:val="20"/>
          <w:szCs w:val="20"/>
        </w:rPr>
        <w:t xml:space="preserve">Modulo Monitoraggio Applicativo per </w:t>
      </w:r>
      <w:proofErr w:type="spellStart"/>
      <w:r w:rsidRPr="00873D29">
        <w:rPr>
          <w:rFonts w:asciiTheme="minorHAnsi" w:hAnsiTheme="minorHAnsi"/>
          <w:sz w:val="20"/>
          <w:szCs w:val="20"/>
        </w:rPr>
        <w:t>GovWay</w:t>
      </w:r>
      <w:proofErr w:type="spellEnd"/>
      <w:r w:rsidRPr="00873D29">
        <w:rPr>
          <w:rFonts w:asciiTheme="minorHAnsi" w:hAnsiTheme="minorHAnsi"/>
          <w:sz w:val="20"/>
          <w:szCs w:val="20"/>
        </w:rPr>
        <w:t xml:space="preserve"> Enterprise – n. 1 sottoscrizione;</w:t>
      </w:r>
    </w:p>
    <w:p w14:paraId="1F43D946" w14:textId="77777777" w:rsidR="00873D29" w:rsidRPr="00873D29" w:rsidRDefault="00873D29" w:rsidP="008E51DB">
      <w:pPr>
        <w:pStyle w:val="Paragrafoelenco"/>
        <w:numPr>
          <w:ilvl w:val="1"/>
          <w:numId w:val="18"/>
        </w:numPr>
        <w:spacing w:line="360" w:lineRule="auto"/>
        <w:jc w:val="both"/>
        <w:rPr>
          <w:rFonts w:asciiTheme="minorHAnsi" w:hAnsiTheme="minorHAnsi"/>
          <w:sz w:val="20"/>
          <w:szCs w:val="20"/>
        </w:rPr>
      </w:pPr>
      <w:r w:rsidRPr="00873D29">
        <w:rPr>
          <w:rFonts w:asciiTheme="minorHAnsi" w:hAnsiTheme="minorHAnsi"/>
          <w:sz w:val="20"/>
          <w:szCs w:val="20"/>
        </w:rPr>
        <w:t xml:space="preserve">Porta di Dominio </w:t>
      </w:r>
      <w:proofErr w:type="spellStart"/>
      <w:r w:rsidRPr="00873D29">
        <w:rPr>
          <w:rFonts w:asciiTheme="minorHAnsi" w:hAnsiTheme="minorHAnsi"/>
          <w:sz w:val="20"/>
          <w:szCs w:val="20"/>
        </w:rPr>
        <w:t>OpenSPCoop</w:t>
      </w:r>
      <w:proofErr w:type="spellEnd"/>
      <w:r w:rsidRPr="00873D29">
        <w:rPr>
          <w:rFonts w:asciiTheme="minorHAnsi" w:hAnsiTheme="minorHAnsi"/>
          <w:sz w:val="20"/>
          <w:szCs w:val="20"/>
        </w:rPr>
        <w:t xml:space="preserve"> Enterprise – n. 1 sottoscrizione;</w:t>
      </w:r>
    </w:p>
    <w:p w14:paraId="08F319EA" w14:textId="77777777" w:rsidR="00873D29" w:rsidRPr="00873D29" w:rsidRDefault="00873D29" w:rsidP="008E51DB">
      <w:pPr>
        <w:pStyle w:val="Paragrafoelenco"/>
        <w:numPr>
          <w:ilvl w:val="1"/>
          <w:numId w:val="18"/>
        </w:numPr>
        <w:spacing w:line="360" w:lineRule="auto"/>
        <w:jc w:val="both"/>
        <w:rPr>
          <w:rFonts w:asciiTheme="minorHAnsi" w:hAnsiTheme="minorHAnsi"/>
          <w:sz w:val="20"/>
          <w:szCs w:val="20"/>
        </w:rPr>
      </w:pPr>
      <w:r w:rsidRPr="00873D29">
        <w:rPr>
          <w:rFonts w:asciiTheme="minorHAnsi" w:hAnsiTheme="minorHAnsi"/>
          <w:sz w:val="20"/>
          <w:szCs w:val="20"/>
        </w:rPr>
        <w:t xml:space="preserve">Modulo Monitoraggio Applicativo per </w:t>
      </w:r>
      <w:proofErr w:type="spellStart"/>
      <w:r w:rsidRPr="00873D29">
        <w:rPr>
          <w:rFonts w:asciiTheme="minorHAnsi" w:hAnsiTheme="minorHAnsi"/>
          <w:sz w:val="20"/>
          <w:szCs w:val="20"/>
        </w:rPr>
        <w:t>OpenSPCoop</w:t>
      </w:r>
      <w:proofErr w:type="spellEnd"/>
      <w:r w:rsidRPr="00873D29">
        <w:rPr>
          <w:rFonts w:asciiTheme="minorHAnsi" w:hAnsiTheme="minorHAnsi"/>
          <w:sz w:val="20"/>
          <w:szCs w:val="20"/>
        </w:rPr>
        <w:t xml:space="preserve"> Enterprise – n. 1 sottoscrizione;</w:t>
      </w:r>
    </w:p>
    <w:p w14:paraId="7135E46C" w14:textId="77777777" w:rsidR="00873D29" w:rsidRPr="00873D29" w:rsidRDefault="00873D29" w:rsidP="008E51DB">
      <w:pPr>
        <w:pStyle w:val="Paragrafoelenco"/>
        <w:numPr>
          <w:ilvl w:val="1"/>
          <w:numId w:val="18"/>
        </w:numPr>
        <w:spacing w:line="360" w:lineRule="auto"/>
        <w:jc w:val="both"/>
        <w:rPr>
          <w:rFonts w:asciiTheme="minorHAnsi" w:hAnsiTheme="minorHAnsi"/>
          <w:sz w:val="20"/>
          <w:szCs w:val="20"/>
        </w:rPr>
      </w:pPr>
      <w:r w:rsidRPr="00873D29">
        <w:rPr>
          <w:rFonts w:asciiTheme="minorHAnsi" w:hAnsiTheme="minorHAnsi"/>
          <w:sz w:val="20"/>
          <w:szCs w:val="20"/>
        </w:rPr>
        <w:t>Servizio di supporto specialistico continuativo (a canone, con SLA garantiti, in modalità “</w:t>
      </w:r>
      <w:r w:rsidR="00242C6B">
        <w:rPr>
          <w:rFonts w:asciiTheme="minorHAnsi" w:hAnsiTheme="minorHAnsi"/>
          <w:sz w:val="20"/>
          <w:szCs w:val="20"/>
        </w:rPr>
        <w:t>on center</w:t>
      </w:r>
      <w:r w:rsidRPr="00873D29">
        <w:rPr>
          <w:rFonts w:asciiTheme="minorHAnsi" w:hAnsiTheme="minorHAnsi"/>
          <w:sz w:val="20"/>
          <w:szCs w:val="20"/>
        </w:rPr>
        <w:t>”) per problematiche specifiche in ambiente di produzione;</w:t>
      </w:r>
    </w:p>
    <w:p w14:paraId="3B88E8D6" w14:textId="77777777" w:rsidR="00873D29" w:rsidRPr="00873D29" w:rsidRDefault="00873D29" w:rsidP="008E51DB">
      <w:pPr>
        <w:pStyle w:val="Paragrafoelenco"/>
        <w:numPr>
          <w:ilvl w:val="1"/>
          <w:numId w:val="18"/>
        </w:numPr>
        <w:spacing w:line="360" w:lineRule="auto"/>
        <w:jc w:val="both"/>
        <w:rPr>
          <w:rFonts w:asciiTheme="minorHAnsi" w:hAnsiTheme="minorHAnsi"/>
          <w:sz w:val="20"/>
          <w:szCs w:val="20"/>
        </w:rPr>
      </w:pPr>
      <w:r w:rsidRPr="00873D29">
        <w:rPr>
          <w:rFonts w:asciiTheme="minorHAnsi" w:hAnsiTheme="minorHAnsi"/>
          <w:sz w:val="20"/>
          <w:szCs w:val="20"/>
        </w:rPr>
        <w:t xml:space="preserve">Giornata on center – Product </w:t>
      </w:r>
      <w:proofErr w:type="spellStart"/>
      <w:r w:rsidRPr="00873D29">
        <w:rPr>
          <w:rFonts w:asciiTheme="minorHAnsi" w:hAnsiTheme="minorHAnsi"/>
          <w:sz w:val="20"/>
          <w:szCs w:val="20"/>
        </w:rPr>
        <w:t>Specialist</w:t>
      </w:r>
      <w:proofErr w:type="spellEnd"/>
      <w:r w:rsidRPr="00873D29">
        <w:rPr>
          <w:rFonts w:asciiTheme="minorHAnsi" w:hAnsiTheme="minorHAnsi"/>
          <w:sz w:val="20"/>
          <w:szCs w:val="20"/>
        </w:rPr>
        <w:t xml:space="preserve"> – n. 60 giornate annue.</w:t>
      </w:r>
    </w:p>
    <w:p w14:paraId="0E593F46" w14:textId="77777777" w:rsidR="00873D29" w:rsidRDefault="00873D29" w:rsidP="00873D29">
      <w:pPr>
        <w:spacing w:line="276" w:lineRule="auto"/>
        <w:ind w:firstLine="708"/>
      </w:pPr>
    </w:p>
    <w:p w14:paraId="10DD18A1" w14:textId="77777777" w:rsidR="00873D29" w:rsidRPr="008E51DB" w:rsidRDefault="00873D29" w:rsidP="00873D29">
      <w:pPr>
        <w:spacing w:line="360" w:lineRule="auto"/>
        <w:jc w:val="both"/>
        <w:rPr>
          <w:rFonts w:asciiTheme="minorHAnsi" w:hAnsiTheme="minorHAnsi"/>
          <w:sz w:val="20"/>
          <w:szCs w:val="20"/>
          <w:u w:val="single"/>
        </w:rPr>
      </w:pPr>
      <w:r w:rsidRPr="008E51DB">
        <w:rPr>
          <w:rFonts w:asciiTheme="minorHAnsi" w:hAnsiTheme="minorHAnsi"/>
          <w:sz w:val="20"/>
          <w:szCs w:val="20"/>
          <w:u w:val="single"/>
        </w:rPr>
        <w:t>Si precisa che</w:t>
      </w:r>
      <w:r w:rsidRPr="008E51DB">
        <w:rPr>
          <w:rFonts w:asciiTheme="minorHAnsi" w:hAnsiTheme="minorHAnsi"/>
          <w:sz w:val="20"/>
          <w:szCs w:val="20"/>
        </w:rPr>
        <w:t>:</w:t>
      </w:r>
    </w:p>
    <w:p w14:paraId="0D0694CF" w14:textId="24D71875" w:rsidR="00873D29" w:rsidRPr="00A25E52" w:rsidRDefault="00873D29" w:rsidP="00035E42">
      <w:pPr>
        <w:pStyle w:val="Paragrafoelenco"/>
        <w:numPr>
          <w:ilvl w:val="0"/>
          <w:numId w:val="15"/>
        </w:numPr>
        <w:spacing w:line="276" w:lineRule="auto"/>
        <w:jc w:val="both"/>
        <w:rPr>
          <w:rFonts w:asciiTheme="minorHAnsi" w:hAnsiTheme="minorHAnsi"/>
          <w:sz w:val="20"/>
          <w:szCs w:val="20"/>
        </w:rPr>
      </w:pPr>
      <w:r w:rsidRPr="00A25E52">
        <w:rPr>
          <w:rFonts w:asciiTheme="minorHAnsi" w:hAnsiTheme="minorHAnsi"/>
          <w:sz w:val="20"/>
          <w:szCs w:val="20"/>
        </w:rPr>
        <w:t>essendo prevista la dismissione della Porta di Dominio nel corso del contratto</w:t>
      </w:r>
      <w:r w:rsidR="00CC3269" w:rsidRPr="00A25E52">
        <w:rPr>
          <w:rFonts w:asciiTheme="minorHAnsi" w:hAnsiTheme="minorHAnsi"/>
          <w:sz w:val="20"/>
          <w:szCs w:val="20"/>
        </w:rPr>
        <w:t xml:space="preserve"> della presente acquisizione</w:t>
      </w:r>
      <w:r w:rsidRPr="00A25E52">
        <w:rPr>
          <w:rFonts w:asciiTheme="minorHAnsi" w:hAnsiTheme="minorHAnsi"/>
          <w:sz w:val="20"/>
          <w:szCs w:val="20"/>
        </w:rPr>
        <w:t xml:space="preserve">, sarà </w:t>
      </w:r>
      <w:r w:rsidR="00A25E52" w:rsidRPr="00A25E52">
        <w:rPr>
          <w:rFonts w:asciiTheme="minorHAnsi" w:hAnsiTheme="minorHAnsi"/>
          <w:sz w:val="20"/>
          <w:szCs w:val="20"/>
        </w:rPr>
        <w:t>possibile recedere</w:t>
      </w:r>
      <w:r w:rsidRPr="00A25E52">
        <w:rPr>
          <w:rFonts w:asciiTheme="minorHAnsi" w:hAnsiTheme="minorHAnsi"/>
          <w:sz w:val="20"/>
          <w:szCs w:val="20"/>
        </w:rPr>
        <w:t xml:space="preserve"> dai prodotti </w:t>
      </w:r>
      <w:proofErr w:type="spellStart"/>
      <w:r w:rsidRPr="00A25E52">
        <w:rPr>
          <w:rFonts w:asciiTheme="minorHAnsi" w:hAnsiTheme="minorHAnsi"/>
          <w:sz w:val="20"/>
          <w:szCs w:val="20"/>
        </w:rPr>
        <w:t>OpenSPCoop</w:t>
      </w:r>
      <w:proofErr w:type="spellEnd"/>
      <w:r w:rsidRPr="00A25E52">
        <w:rPr>
          <w:rFonts w:asciiTheme="minorHAnsi" w:hAnsiTheme="minorHAnsi"/>
          <w:sz w:val="20"/>
          <w:szCs w:val="20"/>
        </w:rPr>
        <w:t xml:space="preserve"> Enterprise e Modulo Monitoraggio Applicativo per </w:t>
      </w:r>
      <w:proofErr w:type="spellStart"/>
      <w:r w:rsidRPr="00A25E52">
        <w:rPr>
          <w:rFonts w:asciiTheme="minorHAnsi" w:hAnsiTheme="minorHAnsi"/>
          <w:sz w:val="20"/>
          <w:szCs w:val="20"/>
        </w:rPr>
        <w:t>OpenSPCoop</w:t>
      </w:r>
      <w:proofErr w:type="spellEnd"/>
      <w:r w:rsidRPr="00A25E52">
        <w:rPr>
          <w:rFonts w:asciiTheme="minorHAnsi" w:hAnsiTheme="minorHAnsi"/>
          <w:sz w:val="20"/>
          <w:szCs w:val="20"/>
        </w:rPr>
        <w:t xml:space="preserve"> Enterprise</w:t>
      </w:r>
      <w:r w:rsidR="00A25E52" w:rsidRPr="00A25E52">
        <w:rPr>
          <w:rFonts w:asciiTheme="minorHAnsi" w:hAnsiTheme="minorHAnsi"/>
          <w:sz w:val="20"/>
          <w:szCs w:val="20"/>
        </w:rPr>
        <w:t>,</w:t>
      </w:r>
      <w:r w:rsidRPr="00A25E52">
        <w:rPr>
          <w:rFonts w:asciiTheme="minorHAnsi" w:hAnsiTheme="minorHAnsi"/>
          <w:sz w:val="20"/>
          <w:szCs w:val="20"/>
        </w:rPr>
        <w:t xml:space="preserve"> all’atto</w:t>
      </w:r>
      <w:r w:rsidR="008E51DB" w:rsidRPr="00A25E52">
        <w:rPr>
          <w:rFonts w:asciiTheme="minorHAnsi" w:hAnsiTheme="minorHAnsi"/>
          <w:sz w:val="20"/>
          <w:szCs w:val="20"/>
        </w:rPr>
        <w:t xml:space="preserve"> della dismissione delle stesse;</w:t>
      </w:r>
    </w:p>
    <w:p w14:paraId="50878524" w14:textId="77777777" w:rsidR="00242C6B" w:rsidRPr="00BB7F8A" w:rsidRDefault="00242C6B" w:rsidP="00242C6B">
      <w:pPr>
        <w:pStyle w:val="Numeroelenco"/>
        <w:widowControl/>
        <w:numPr>
          <w:ilvl w:val="0"/>
          <w:numId w:val="15"/>
        </w:numPr>
        <w:rPr>
          <w:rFonts w:ascii="Calibri" w:hAnsi="Calibri"/>
          <w:b/>
          <w:i/>
          <w:szCs w:val="20"/>
        </w:rPr>
      </w:pPr>
      <w:r w:rsidRPr="000A7F26">
        <w:rPr>
          <w:rFonts w:ascii="Calibri" w:hAnsi="Calibri"/>
          <w:lang w:val="it-IT"/>
        </w:rPr>
        <w:t xml:space="preserve">per modalità </w:t>
      </w:r>
      <w:r>
        <w:rPr>
          <w:rFonts w:ascii="Calibri" w:hAnsi="Calibri"/>
          <w:lang w:val="it-IT"/>
        </w:rPr>
        <w:t xml:space="preserve">c.d. </w:t>
      </w:r>
      <w:r w:rsidRPr="000A7F26">
        <w:rPr>
          <w:rFonts w:ascii="Calibri" w:hAnsi="Calibri"/>
          <w:lang w:val="it-IT"/>
        </w:rPr>
        <w:t xml:space="preserve">“on center” si intende </w:t>
      </w:r>
      <w:r>
        <w:rPr>
          <w:rFonts w:ascii="Calibri" w:hAnsi="Calibri"/>
          <w:lang w:val="it-IT"/>
        </w:rPr>
        <w:t>l’erogazione del servizio “da remoto”, ovvero p</w:t>
      </w:r>
      <w:r w:rsidR="00BB7F8A">
        <w:rPr>
          <w:rFonts w:ascii="Calibri" w:hAnsi="Calibri"/>
          <w:lang w:val="it-IT"/>
        </w:rPr>
        <w:t>resso la/e sede/i del Fornitore.</w:t>
      </w:r>
    </w:p>
    <w:p w14:paraId="7A0B9BE7" w14:textId="77777777" w:rsidR="00BB7F8A" w:rsidRPr="000A7F26" w:rsidRDefault="00BB7F8A" w:rsidP="00BB7F8A">
      <w:pPr>
        <w:pStyle w:val="Numeroelenco"/>
        <w:widowControl/>
        <w:numPr>
          <w:ilvl w:val="0"/>
          <w:numId w:val="0"/>
        </w:numPr>
        <w:ind w:left="720"/>
        <w:rPr>
          <w:rFonts w:ascii="Calibri" w:hAnsi="Calibri"/>
          <w:b/>
          <w:i/>
          <w:szCs w:val="20"/>
        </w:rPr>
      </w:pPr>
    </w:p>
    <w:p w14:paraId="2A68E75A" w14:textId="77777777" w:rsidR="008E51DB" w:rsidRDefault="008E51DB" w:rsidP="008E51DB">
      <w:pPr>
        <w:jc w:val="both"/>
        <w:rPr>
          <w:rFonts w:asciiTheme="minorHAnsi" w:hAnsiTheme="minorHAnsi"/>
          <w:sz w:val="20"/>
          <w:szCs w:val="20"/>
        </w:rPr>
      </w:pPr>
    </w:p>
    <w:p w14:paraId="15803A0B" w14:textId="77777777" w:rsidR="008E51DB" w:rsidRPr="008E51DB" w:rsidRDefault="008E51DB" w:rsidP="008E51DB">
      <w:pPr>
        <w:spacing w:line="276" w:lineRule="auto"/>
        <w:rPr>
          <w:rFonts w:ascii="Calibri" w:hAnsi="Calibri" w:cs="Calibri"/>
          <w:b/>
          <w:i/>
          <w:color w:val="000000" w:themeColor="text1"/>
          <w:sz w:val="20"/>
          <w:szCs w:val="20"/>
        </w:rPr>
      </w:pPr>
      <w:r w:rsidRPr="008E51DB">
        <w:rPr>
          <w:rFonts w:ascii="Calibri" w:hAnsi="Calibri" w:cs="Calibri"/>
          <w:b/>
          <w:i/>
          <w:color w:val="000000" w:themeColor="text1"/>
          <w:sz w:val="20"/>
          <w:szCs w:val="20"/>
        </w:rPr>
        <w:t>Importo stimato e durata</w:t>
      </w:r>
    </w:p>
    <w:p w14:paraId="733F835F" w14:textId="77777777" w:rsidR="00035E42" w:rsidRDefault="008E51DB" w:rsidP="00B42942">
      <w:pPr>
        <w:spacing w:line="276" w:lineRule="auto"/>
        <w:jc w:val="both"/>
        <w:rPr>
          <w:rFonts w:asciiTheme="minorHAnsi" w:hAnsiTheme="minorHAnsi"/>
          <w:sz w:val="20"/>
          <w:szCs w:val="20"/>
        </w:rPr>
      </w:pPr>
      <w:r>
        <w:rPr>
          <w:rFonts w:asciiTheme="minorHAnsi" w:hAnsiTheme="minorHAnsi"/>
          <w:sz w:val="20"/>
          <w:szCs w:val="20"/>
        </w:rPr>
        <w:t>S</w:t>
      </w:r>
      <w:r w:rsidR="00035E42" w:rsidRPr="008E51DB">
        <w:rPr>
          <w:rFonts w:asciiTheme="minorHAnsi" w:hAnsiTheme="minorHAnsi"/>
          <w:sz w:val="20"/>
          <w:szCs w:val="20"/>
        </w:rPr>
        <w:t xml:space="preserve">ulla scorta di una preliminare valutazione, il massimale per tutti i prodotti/servizi oggetto dell’iniziativa, per entrambi le divisioni </w:t>
      </w:r>
      <w:r w:rsidR="00CC3269" w:rsidRPr="008E51DB">
        <w:rPr>
          <w:rFonts w:asciiTheme="minorHAnsi" w:hAnsiTheme="minorHAnsi"/>
          <w:sz w:val="20"/>
          <w:szCs w:val="20"/>
        </w:rPr>
        <w:t>sopra indicate</w:t>
      </w:r>
      <w:r w:rsidR="00035E42" w:rsidRPr="008E51DB">
        <w:rPr>
          <w:rFonts w:asciiTheme="minorHAnsi" w:hAnsiTheme="minorHAnsi"/>
          <w:sz w:val="20"/>
          <w:szCs w:val="20"/>
        </w:rPr>
        <w:t>, su una durata contrattuale di mesi 36 è complessivamente stimato i</w:t>
      </w:r>
      <w:r>
        <w:rPr>
          <w:rFonts w:asciiTheme="minorHAnsi" w:hAnsiTheme="minorHAnsi"/>
          <w:sz w:val="20"/>
          <w:szCs w:val="20"/>
        </w:rPr>
        <w:t>n circa € 867.000 (IVA esclusa).</w:t>
      </w:r>
    </w:p>
    <w:p w14:paraId="669FC95F" w14:textId="77777777" w:rsidR="008E51DB" w:rsidRDefault="008E51DB" w:rsidP="008E51DB">
      <w:pPr>
        <w:jc w:val="both"/>
        <w:rPr>
          <w:rFonts w:asciiTheme="minorHAnsi" w:hAnsiTheme="minorHAnsi"/>
          <w:sz w:val="20"/>
          <w:szCs w:val="20"/>
        </w:rPr>
      </w:pPr>
    </w:p>
    <w:p w14:paraId="1AFD3714" w14:textId="77777777" w:rsidR="008E51DB" w:rsidRDefault="008E51DB" w:rsidP="008E51DB">
      <w:pPr>
        <w:jc w:val="both"/>
        <w:rPr>
          <w:rFonts w:asciiTheme="minorHAnsi" w:hAnsiTheme="minorHAnsi"/>
          <w:sz w:val="20"/>
          <w:szCs w:val="20"/>
        </w:rPr>
      </w:pPr>
    </w:p>
    <w:p w14:paraId="7F36AD83" w14:textId="6916BD52" w:rsidR="00873D29" w:rsidRDefault="00873D29" w:rsidP="00873D29">
      <w:pPr>
        <w:spacing w:line="276" w:lineRule="auto"/>
        <w:ind w:firstLine="708"/>
      </w:pPr>
    </w:p>
    <w:p w14:paraId="2869D1F3" w14:textId="76CA028B" w:rsidR="00AC14D1" w:rsidRDefault="00AC14D1" w:rsidP="00873D29">
      <w:pPr>
        <w:spacing w:line="276" w:lineRule="auto"/>
        <w:ind w:firstLine="708"/>
      </w:pPr>
    </w:p>
    <w:p w14:paraId="3ED083E9" w14:textId="3A47933D" w:rsidR="00B42942" w:rsidRDefault="00B42942" w:rsidP="00873D29">
      <w:pPr>
        <w:spacing w:line="276" w:lineRule="auto"/>
        <w:ind w:firstLine="708"/>
      </w:pPr>
    </w:p>
    <w:p w14:paraId="66E84C0C" w14:textId="383BBA3B" w:rsidR="00B42942" w:rsidRDefault="00B42942" w:rsidP="00873D29">
      <w:pPr>
        <w:spacing w:line="276" w:lineRule="auto"/>
        <w:ind w:firstLine="708"/>
      </w:pPr>
    </w:p>
    <w:p w14:paraId="666434E2" w14:textId="7BFD8B02" w:rsidR="00B42942" w:rsidRDefault="00B42942" w:rsidP="00873D29">
      <w:pPr>
        <w:spacing w:line="276" w:lineRule="auto"/>
        <w:ind w:firstLine="708"/>
      </w:pPr>
    </w:p>
    <w:p w14:paraId="48CAD884" w14:textId="304BEF2E" w:rsidR="00B42942" w:rsidRDefault="00B42942" w:rsidP="00873D29">
      <w:pPr>
        <w:spacing w:line="276" w:lineRule="auto"/>
        <w:ind w:firstLine="708"/>
      </w:pPr>
    </w:p>
    <w:p w14:paraId="6C238F00" w14:textId="17F28776" w:rsidR="00B42942" w:rsidRDefault="00B42942" w:rsidP="00873D29">
      <w:pPr>
        <w:spacing w:line="276" w:lineRule="auto"/>
        <w:ind w:firstLine="708"/>
      </w:pPr>
    </w:p>
    <w:p w14:paraId="4E437BE1" w14:textId="2E487CC6" w:rsidR="00B42942" w:rsidRDefault="00B42942" w:rsidP="00873D29">
      <w:pPr>
        <w:spacing w:line="276" w:lineRule="auto"/>
        <w:ind w:firstLine="708"/>
      </w:pPr>
    </w:p>
    <w:p w14:paraId="2DE775F9" w14:textId="77777777" w:rsidR="00B42942" w:rsidRDefault="00B42942" w:rsidP="00873D29">
      <w:pPr>
        <w:spacing w:line="276" w:lineRule="auto"/>
        <w:ind w:firstLine="708"/>
      </w:pPr>
    </w:p>
    <w:p w14:paraId="6FAB8415" w14:textId="77777777" w:rsidR="00DC69C7" w:rsidRDefault="00522FB0">
      <w:pPr>
        <w:pStyle w:val="Titolo1"/>
        <w:numPr>
          <w:ilvl w:val="0"/>
          <w:numId w:val="0"/>
        </w:numPr>
        <w:rPr>
          <w:rFonts w:ascii="Calibri" w:hAnsi="Calibri"/>
          <w:szCs w:val="22"/>
        </w:rPr>
      </w:pPr>
      <w:r>
        <w:rPr>
          <w:rFonts w:ascii="Calibri" w:hAnsi="Calibri"/>
          <w:szCs w:val="22"/>
        </w:rPr>
        <w:lastRenderedPageBreak/>
        <w:t>Domande</w:t>
      </w:r>
    </w:p>
    <w:p w14:paraId="21F6FF75" w14:textId="77777777" w:rsidR="00DC69C7" w:rsidRDefault="00522FB0">
      <w:pPr>
        <w:numPr>
          <w:ilvl w:val="0"/>
          <w:numId w:val="5"/>
        </w:numPr>
        <w:spacing w:after="120" w:line="276"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Pr>
          <w:rFonts w:ascii="Calibri" w:hAnsi="Calibri" w:cs="Arial"/>
          <w:sz w:val="20"/>
          <w:szCs w:val="20"/>
        </w:rPr>
        <w:tab/>
        <w:t xml:space="preserve">settori di attività, </w:t>
      </w:r>
      <w:proofErr w:type="gramStart"/>
      <w:r>
        <w:rPr>
          <w:rFonts w:ascii="Calibri" w:hAnsi="Calibri" w:cs="Arial"/>
          <w:sz w:val="20"/>
          <w:szCs w:val="20"/>
        </w:rPr>
        <w:t xml:space="preserve">il </w:t>
      </w:r>
      <w:r>
        <w:rPr>
          <w:rFonts w:ascii="Calibri" w:hAnsi="Calibri" w:cs="Arial"/>
          <w:i/>
          <w:sz w:val="20"/>
          <w:szCs w:val="20"/>
        </w:rPr>
        <w:t>core</w:t>
      </w:r>
      <w:proofErr w:type="gramEnd"/>
      <w:r>
        <w:rPr>
          <w:rFonts w:ascii="Calibri" w:hAnsi="Calibri" w:cs="Arial"/>
          <w:i/>
          <w:sz w:val="20"/>
          <w:szCs w:val="20"/>
        </w:rPr>
        <w:t xml:space="preserve"> business</w:t>
      </w:r>
      <w:r>
        <w:rPr>
          <w:rFonts w:ascii="Calibri" w:hAnsi="Calibri" w:cs="Arial"/>
          <w:sz w:val="20"/>
          <w:szCs w:val="20"/>
        </w:rPr>
        <w:t>, il numero di dipendenti.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3D065C78" w14:textId="77777777">
        <w:trPr>
          <w:trHeight w:val="1824"/>
        </w:trPr>
        <w:tc>
          <w:tcPr>
            <w:tcW w:w="8494" w:type="dxa"/>
            <w:shd w:val="clear" w:color="auto" w:fill="F2F2F2" w:themeFill="background1" w:themeFillShade="F2"/>
          </w:tcPr>
          <w:p w14:paraId="1BB2FFA7" w14:textId="6E07DEAE" w:rsidR="00DC69C7" w:rsidRDefault="00DC69C7">
            <w:pPr>
              <w:jc w:val="both"/>
              <w:rPr>
                <w:rFonts w:asciiTheme="minorHAnsi" w:hAnsiTheme="minorHAnsi" w:cs="Arial"/>
                <w:bCs/>
                <w:sz w:val="20"/>
                <w:szCs w:val="20"/>
              </w:rPr>
            </w:pPr>
          </w:p>
        </w:tc>
      </w:tr>
    </w:tbl>
    <w:p w14:paraId="38164747" w14:textId="6FB18626" w:rsidR="00DC69C7" w:rsidRDefault="00DC69C7">
      <w:pPr>
        <w:spacing w:line="360" w:lineRule="auto"/>
        <w:jc w:val="both"/>
        <w:rPr>
          <w:rFonts w:ascii="Calibri" w:hAnsi="Calibri" w:cs="Arial"/>
          <w:sz w:val="20"/>
          <w:szCs w:val="20"/>
        </w:rPr>
      </w:pPr>
    </w:p>
    <w:p w14:paraId="087455BF" w14:textId="77777777" w:rsidR="00AC14D1" w:rsidRDefault="00AC14D1">
      <w:pPr>
        <w:spacing w:line="360" w:lineRule="auto"/>
        <w:jc w:val="both"/>
        <w:rPr>
          <w:rFonts w:ascii="Calibri" w:hAnsi="Calibri" w:cs="Arial"/>
          <w:sz w:val="20"/>
          <w:szCs w:val="20"/>
        </w:rPr>
      </w:pPr>
    </w:p>
    <w:p w14:paraId="49B946E9" w14:textId="3A879F49" w:rsidR="00DC69C7" w:rsidRDefault="00A25E52">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In relazione </w:t>
      </w:r>
      <w:r w:rsidR="007D6DFF">
        <w:rPr>
          <w:rFonts w:ascii="Calibri" w:hAnsi="Calibri" w:cs="Arial"/>
          <w:sz w:val="20"/>
          <w:szCs w:val="20"/>
        </w:rPr>
        <w:t>a</w:t>
      </w:r>
      <w:r>
        <w:rPr>
          <w:rFonts w:ascii="Calibri" w:hAnsi="Calibri" w:cs="Arial"/>
          <w:sz w:val="20"/>
          <w:szCs w:val="20"/>
        </w:rPr>
        <w:t>ll’oggetto dell’iniziativa</w:t>
      </w:r>
      <w:r w:rsidR="008E51DB">
        <w:rPr>
          <w:rFonts w:ascii="Calibri" w:hAnsi="Calibri" w:cs="Arial"/>
          <w:sz w:val="20"/>
          <w:szCs w:val="20"/>
        </w:rPr>
        <w:t>, relativ</w:t>
      </w:r>
      <w:r>
        <w:rPr>
          <w:rFonts w:ascii="Calibri" w:hAnsi="Calibri" w:cs="Arial"/>
          <w:sz w:val="20"/>
          <w:szCs w:val="20"/>
        </w:rPr>
        <w:t>a</w:t>
      </w:r>
      <w:r w:rsidR="008E51DB">
        <w:rPr>
          <w:rFonts w:ascii="Calibri" w:hAnsi="Calibri" w:cs="Arial"/>
          <w:sz w:val="20"/>
          <w:szCs w:val="20"/>
        </w:rPr>
        <w:t xml:space="preserve"> </w:t>
      </w:r>
      <w:proofErr w:type="spellStart"/>
      <w:proofErr w:type="gramStart"/>
      <w:r w:rsidR="009229EC">
        <w:rPr>
          <w:rFonts w:ascii="Calibri" w:hAnsi="Calibri" w:cs="Arial"/>
          <w:sz w:val="20"/>
          <w:szCs w:val="20"/>
        </w:rPr>
        <w:t>all</w:t>
      </w:r>
      <w:r w:rsidR="009229EC" w:rsidRPr="009229EC">
        <w:rPr>
          <w:rFonts w:ascii="Calibri" w:hAnsi="Calibri" w:cs="Arial"/>
          <w:i/>
          <w:sz w:val="20"/>
          <w:szCs w:val="20"/>
        </w:rPr>
        <w:t>“</w:t>
      </w:r>
      <w:proofErr w:type="gramEnd"/>
      <w:r w:rsidR="009229EC" w:rsidRPr="009229EC">
        <w:rPr>
          <w:rFonts w:ascii="Calibri" w:hAnsi="Calibri" w:cs="Arial"/>
          <w:i/>
          <w:sz w:val="20"/>
          <w:szCs w:val="20"/>
        </w:rPr>
        <w:t>A</w:t>
      </w:r>
      <w:r w:rsidR="009229EC" w:rsidRPr="009229EC">
        <w:rPr>
          <w:rFonts w:asciiTheme="minorHAnsi" w:hAnsiTheme="minorHAnsi" w:cs="Arial"/>
          <w:i/>
          <w:sz w:val="20"/>
          <w:szCs w:val="20"/>
        </w:rPr>
        <w:t>cquisizione</w:t>
      </w:r>
      <w:proofErr w:type="spellEnd"/>
      <w:r w:rsidR="009229EC" w:rsidRPr="009229EC">
        <w:rPr>
          <w:rFonts w:asciiTheme="minorHAnsi" w:hAnsiTheme="minorHAnsi" w:cs="Arial"/>
          <w:i/>
          <w:sz w:val="20"/>
          <w:szCs w:val="20"/>
        </w:rPr>
        <w:t xml:space="preserve"> di sottoscrizioni dei software </w:t>
      </w:r>
      <w:proofErr w:type="spellStart"/>
      <w:r w:rsidR="009229EC" w:rsidRPr="009229EC">
        <w:rPr>
          <w:rFonts w:asciiTheme="minorHAnsi" w:hAnsiTheme="minorHAnsi" w:cs="Arial"/>
          <w:i/>
          <w:sz w:val="20"/>
          <w:szCs w:val="20"/>
        </w:rPr>
        <w:t>SPCoop</w:t>
      </w:r>
      <w:proofErr w:type="spellEnd"/>
      <w:r w:rsidR="009229EC" w:rsidRPr="009229EC">
        <w:rPr>
          <w:rFonts w:asciiTheme="minorHAnsi" w:hAnsiTheme="minorHAnsi" w:cs="Arial"/>
          <w:i/>
          <w:sz w:val="20"/>
          <w:szCs w:val="20"/>
        </w:rPr>
        <w:t xml:space="preserve"> Enterprise e </w:t>
      </w:r>
      <w:proofErr w:type="spellStart"/>
      <w:r w:rsidR="009229EC" w:rsidRPr="009229EC">
        <w:rPr>
          <w:rFonts w:asciiTheme="minorHAnsi" w:hAnsiTheme="minorHAnsi" w:cs="Arial"/>
          <w:i/>
          <w:sz w:val="20"/>
          <w:szCs w:val="20"/>
        </w:rPr>
        <w:t>GovWay</w:t>
      </w:r>
      <w:proofErr w:type="spellEnd"/>
      <w:r w:rsidR="009229EC" w:rsidRPr="009229EC">
        <w:rPr>
          <w:rFonts w:asciiTheme="minorHAnsi" w:hAnsiTheme="minorHAnsi" w:cs="Arial"/>
          <w:i/>
          <w:sz w:val="20"/>
          <w:szCs w:val="20"/>
        </w:rPr>
        <w:t xml:space="preserve"> Enterprise e relativi servizi di manutenzione e supporto specialistico</w:t>
      </w:r>
      <w:r w:rsidR="009229EC" w:rsidRPr="008E51DB">
        <w:rPr>
          <w:rFonts w:ascii="Calibri" w:hAnsi="Calibri" w:cs="Arial"/>
          <w:i/>
          <w:color w:val="000000" w:themeColor="text1"/>
          <w:sz w:val="20"/>
          <w:szCs w:val="20"/>
        </w:rPr>
        <w:t>”</w:t>
      </w:r>
      <w:r w:rsidR="008E51DB" w:rsidRPr="008E51DB">
        <w:rPr>
          <w:rFonts w:ascii="Calibri" w:hAnsi="Calibri" w:cs="Arial"/>
          <w:i/>
          <w:color w:val="000000" w:themeColor="text1"/>
          <w:sz w:val="20"/>
          <w:szCs w:val="20"/>
        </w:rPr>
        <w:t xml:space="preserve">, </w:t>
      </w:r>
      <w:r w:rsidR="00522FB0">
        <w:rPr>
          <w:rFonts w:ascii="Calibri" w:hAnsi="Calibri" w:cs="Arial"/>
          <w:sz w:val="20"/>
          <w:szCs w:val="20"/>
        </w:rPr>
        <w:t>indicare qual è il fatturato annuo medio realizzato dall’Azienda nell’ultimo biennio sia nel mercato Italiano che nello specifico mercato della Pubblica Amministrazione</w:t>
      </w:r>
      <w:r w:rsidR="008617E3">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578AA95" w14:textId="77777777">
        <w:trPr>
          <w:trHeight w:val="1824"/>
        </w:trPr>
        <w:tc>
          <w:tcPr>
            <w:tcW w:w="8494" w:type="dxa"/>
            <w:shd w:val="clear" w:color="auto" w:fill="F2F2F2" w:themeFill="background1" w:themeFillShade="F2"/>
          </w:tcPr>
          <w:p w14:paraId="63E2237F" w14:textId="4D8E3DB6" w:rsidR="00DC69C7" w:rsidRDefault="00DC69C7">
            <w:pPr>
              <w:jc w:val="both"/>
              <w:rPr>
                <w:rFonts w:asciiTheme="minorHAnsi" w:hAnsiTheme="minorHAnsi" w:cs="Arial"/>
                <w:bCs/>
                <w:sz w:val="20"/>
                <w:szCs w:val="20"/>
              </w:rPr>
            </w:pPr>
          </w:p>
        </w:tc>
      </w:tr>
    </w:tbl>
    <w:p w14:paraId="3135021A" w14:textId="0A3FC97F" w:rsidR="00DC69C7" w:rsidRDefault="00DC69C7">
      <w:pPr>
        <w:spacing w:line="360" w:lineRule="auto"/>
        <w:jc w:val="both"/>
        <w:rPr>
          <w:rFonts w:ascii="Calibri" w:hAnsi="Calibri" w:cs="Arial"/>
          <w:sz w:val="20"/>
          <w:szCs w:val="20"/>
        </w:rPr>
      </w:pPr>
    </w:p>
    <w:p w14:paraId="4C21B7EC" w14:textId="77777777" w:rsidR="00AC14D1" w:rsidRDefault="00AC14D1">
      <w:pPr>
        <w:spacing w:line="360" w:lineRule="auto"/>
        <w:jc w:val="both"/>
        <w:rPr>
          <w:rFonts w:ascii="Calibri" w:hAnsi="Calibri" w:cs="Arial"/>
          <w:sz w:val="20"/>
          <w:szCs w:val="20"/>
        </w:rPr>
      </w:pPr>
    </w:p>
    <w:p w14:paraId="599E6F8B" w14:textId="31184E68" w:rsidR="00DC69C7" w:rsidRDefault="00522FB0">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In relazione </w:t>
      </w:r>
      <w:r w:rsidR="00F9085C">
        <w:rPr>
          <w:rFonts w:ascii="Calibri" w:hAnsi="Calibri" w:cs="Arial"/>
          <w:sz w:val="20"/>
          <w:szCs w:val="20"/>
        </w:rPr>
        <w:t>a</w:t>
      </w:r>
      <w:r w:rsidR="00A25E52">
        <w:rPr>
          <w:rFonts w:ascii="Calibri" w:hAnsi="Calibri" w:cs="Arial"/>
          <w:sz w:val="20"/>
          <w:szCs w:val="20"/>
        </w:rPr>
        <w:t>ll’oggetto dell’iniziativa, relativa all’</w:t>
      </w:r>
      <w:r w:rsidR="00242C6B">
        <w:rPr>
          <w:rFonts w:ascii="Calibri" w:hAnsi="Calibri" w:cs="Arial"/>
          <w:sz w:val="20"/>
          <w:szCs w:val="20"/>
        </w:rPr>
        <w:t xml:space="preserve"> </w:t>
      </w:r>
      <w:r w:rsidR="008E51DB" w:rsidRPr="009229EC">
        <w:rPr>
          <w:rFonts w:ascii="Calibri" w:hAnsi="Calibri" w:cs="Arial"/>
          <w:i/>
          <w:sz w:val="20"/>
          <w:szCs w:val="20"/>
        </w:rPr>
        <w:t>“A</w:t>
      </w:r>
      <w:r w:rsidR="008E51DB" w:rsidRPr="009229EC">
        <w:rPr>
          <w:rFonts w:asciiTheme="minorHAnsi" w:hAnsiTheme="minorHAnsi" w:cs="Arial"/>
          <w:i/>
          <w:sz w:val="20"/>
          <w:szCs w:val="20"/>
        </w:rPr>
        <w:t xml:space="preserve">cquisizione di sottoscrizioni dei software </w:t>
      </w:r>
      <w:proofErr w:type="spellStart"/>
      <w:r w:rsidR="008E51DB" w:rsidRPr="009229EC">
        <w:rPr>
          <w:rFonts w:asciiTheme="minorHAnsi" w:hAnsiTheme="minorHAnsi" w:cs="Arial"/>
          <w:i/>
          <w:sz w:val="20"/>
          <w:szCs w:val="20"/>
        </w:rPr>
        <w:t>SPCoop</w:t>
      </w:r>
      <w:proofErr w:type="spellEnd"/>
      <w:r w:rsidR="008E51DB" w:rsidRPr="009229EC">
        <w:rPr>
          <w:rFonts w:asciiTheme="minorHAnsi" w:hAnsiTheme="minorHAnsi" w:cs="Arial"/>
          <w:i/>
          <w:sz w:val="20"/>
          <w:szCs w:val="20"/>
        </w:rPr>
        <w:t xml:space="preserve"> Enterprise e </w:t>
      </w:r>
      <w:proofErr w:type="spellStart"/>
      <w:r w:rsidR="008E51DB" w:rsidRPr="009229EC">
        <w:rPr>
          <w:rFonts w:asciiTheme="minorHAnsi" w:hAnsiTheme="minorHAnsi" w:cs="Arial"/>
          <w:i/>
          <w:sz w:val="20"/>
          <w:szCs w:val="20"/>
        </w:rPr>
        <w:t>GovWay</w:t>
      </w:r>
      <w:proofErr w:type="spellEnd"/>
      <w:r w:rsidR="008E51DB" w:rsidRPr="009229EC">
        <w:rPr>
          <w:rFonts w:asciiTheme="minorHAnsi" w:hAnsiTheme="minorHAnsi" w:cs="Arial"/>
          <w:i/>
          <w:sz w:val="20"/>
          <w:szCs w:val="20"/>
        </w:rPr>
        <w:t xml:space="preserve"> Enterprise e relativi servizi di manutenzione e supporto specialistico</w:t>
      </w:r>
      <w:r w:rsidR="008E51DB" w:rsidRPr="008E51DB">
        <w:rPr>
          <w:rFonts w:ascii="Calibri" w:hAnsi="Calibri" w:cs="Arial"/>
          <w:i/>
          <w:color w:val="000000" w:themeColor="text1"/>
          <w:sz w:val="20"/>
          <w:szCs w:val="20"/>
        </w:rPr>
        <w:t>”</w:t>
      </w:r>
      <w:r>
        <w:rPr>
          <w:rFonts w:ascii="Calibri" w:hAnsi="Calibri" w:cs="Arial"/>
          <w:sz w:val="20"/>
          <w:szCs w:val="20"/>
        </w:rPr>
        <w:t>, desc</w:t>
      </w:r>
      <w:r w:rsidR="008E51DB">
        <w:rPr>
          <w:rFonts w:ascii="Calibri" w:hAnsi="Calibri" w:cs="Arial"/>
          <w:sz w:val="20"/>
          <w:szCs w:val="20"/>
        </w:rPr>
        <w:t>rivere le politiche commerciali</w:t>
      </w:r>
      <w:r>
        <w:rPr>
          <w:rFonts w:ascii="Calibri" w:hAnsi="Calibri" w:cs="Arial"/>
          <w:sz w:val="20"/>
          <w:szCs w:val="20"/>
        </w:rPr>
        <w:t xml:space="preserve"> (vendita diretta, distributori, </w:t>
      </w:r>
      <w:proofErr w:type="spellStart"/>
      <w:r>
        <w:rPr>
          <w:rFonts w:ascii="Calibri" w:hAnsi="Calibri" w:cs="Arial"/>
          <w:sz w:val="20"/>
          <w:szCs w:val="20"/>
        </w:rPr>
        <w:t>retail</w:t>
      </w:r>
      <w:proofErr w:type="spellEnd"/>
      <w:r w:rsidR="00BB7F8A">
        <w:rPr>
          <w:rFonts w:ascii="Calibri" w:hAnsi="Calibri" w:cs="Arial"/>
          <w:sz w:val="20"/>
          <w:szCs w:val="20"/>
        </w:rPr>
        <w:t>, MEPA,</w:t>
      </w:r>
      <w:r>
        <w:rPr>
          <w:rFonts w:ascii="Calibri" w:hAnsi="Calibri" w:cs="Arial"/>
          <w:sz w:val="20"/>
          <w:szCs w:val="20"/>
        </w:rPr>
        <w:t xml:space="preserve">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1D81E668" w14:textId="77777777">
        <w:trPr>
          <w:trHeight w:val="1824"/>
        </w:trPr>
        <w:tc>
          <w:tcPr>
            <w:tcW w:w="8494" w:type="dxa"/>
            <w:shd w:val="clear" w:color="auto" w:fill="F2F2F2" w:themeFill="background1" w:themeFillShade="F2"/>
          </w:tcPr>
          <w:p w14:paraId="2E2A0801" w14:textId="2A227F8D" w:rsidR="00DC69C7" w:rsidRDefault="00DC69C7">
            <w:pPr>
              <w:jc w:val="both"/>
              <w:rPr>
                <w:rFonts w:asciiTheme="minorHAnsi" w:hAnsiTheme="minorHAnsi" w:cs="Arial"/>
                <w:bCs/>
                <w:sz w:val="20"/>
                <w:szCs w:val="20"/>
              </w:rPr>
            </w:pPr>
          </w:p>
        </w:tc>
      </w:tr>
    </w:tbl>
    <w:p w14:paraId="1B70E7AB" w14:textId="00CAEB3E" w:rsidR="00DC69C7" w:rsidRDefault="00DC69C7">
      <w:pPr>
        <w:spacing w:line="360" w:lineRule="auto"/>
        <w:jc w:val="both"/>
        <w:rPr>
          <w:rFonts w:ascii="Calibri" w:hAnsi="Calibri" w:cs="Arial"/>
          <w:sz w:val="20"/>
          <w:szCs w:val="20"/>
        </w:rPr>
      </w:pPr>
    </w:p>
    <w:p w14:paraId="03AF6B51" w14:textId="77777777" w:rsidR="00AC14D1" w:rsidRDefault="00AC14D1">
      <w:pPr>
        <w:spacing w:line="360" w:lineRule="auto"/>
        <w:jc w:val="both"/>
        <w:rPr>
          <w:rFonts w:ascii="Calibri" w:hAnsi="Calibri" w:cs="Arial"/>
          <w:sz w:val="20"/>
          <w:szCs w:val="20"/>
        </w:rPr>
      </w:pPr>
    </w:p>
    <w:p w14:paraId="55745453" w14:textId="77777777" w:rsidR="00242C6B" w:rsidRPr="00C43BE7" w:rsidRDefault="00242C6B" w:rsidP="00242C6B">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Specificare se i servizi oggetto dell’iniziativa</w:t>
      </w:r>
      <w:r w:rsidRPr="00743E6F">
        <w:rPr>
          <w:rFonts w:ascii="Calibri" w:hAnsi="Calibri" w:cs="Arial"/>
          <w:sz w:val="20"/>
          <w:szCs w:val="20"/>
        </w:rPr>
        <w:t xml:space="preserve">, </w:t>
      </w:r>
      <w:r>
        <w:rPr>
          <w:rFonts w:ascii="Calibri" w:hAnsi="Calibri" w:cs="Arial"/>
          <w:sz w:val="20"/>
          <w:szCs w:val="20"/>
        </w:rPr>
        <w:t xml:space="preserve">così come indicati, </w:t>
      </w:r>
      <w:r w:rsidR="00BB7F8A">
        <w:rPr>
          <w:rFonts w:ascii="Calibri" w:hAnsi="Calibri" w:cs="Arial"/>
          <w:sz w:val="20"/>
          <w:szCs w:val="20"/>
        </w:rPr>
        <w:t xml:space="preserve">tanto per le sottoscrizioni, quanto per i servizi professionali nelle modalità di erogazione richiesti, </w:t>
      </w:r>
      <w:r>
        <w:rPr>
          <w:rFonts w:ascii="Calibri" w:hAnsi="Calibri" w:cs="Arial"/>
          <w:sz w:val="20"/>
          <w:szCs w:val="20"/>
        </w:rPr>
        <w:t>rientrano nelle attività di fornitura della vostra azienda.</w:t>
      </w:r>
      <w:r w:rsidRPr="00C50638">
        <w:rPr>
          <w:rFonts w:ascii="Calibri" w:hAnsi="Calibri" w:cs="Arial"/>
          <w:sz w:val="20"/>
          <w:szCs w:val="20"/>
        </w:rPr>
        <w:t xml:space="preserve"> </w:t>
      </w:r>
      <w:r w:rsidRPr="00BB7F8A">
        <w:rPr>
          <w:rFonts w:ascii="Calibri" w:hAnsi="Calibri" w:cs="Arial"/>
          <w:b/>
          <w:sz w:val="20"/>
          <w:szCs w:val="20"/>
        </w:rPr>
        <w:t xml:space="preserve">Se sì, </w:t>
      </w:r>
      <w:r w:rsidRPr="00BB7F8A">
        <w:rPr>
          <w:rFonts w:ascii="Calibri" w:hAnsi="Calibri" w:cs="Arial"/>
          <w:b/>
          <w:sz w:val="20"/>
          <w:szCs w:val="20"/>
          <w:u w:val="single"/>
        </w:rPr>
        <w:t>specificare se in virtù di diritti esclusivi</w:t>
      </w:r>
      <w:r w:rsidRPr="00BB7F8A">
        <w:rPr>
          <w:rFonts w:ascii="Calibri" w:hAnsi="Calibri" w:cs="Arial"/>
          <w:b/>
          <w:sz w:val="20"/>
          <w:szCs w:val="20"/>
        </w:rPr>
        <w:t>, accordi commerciali o altro</w:t>
      </w:r>
      <w:r>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5D3B9C4B" w14:textId="77777777">
        <w:trPr>
          <w:trHeight w:val="1824"/>
        </w:trPr>
        <w:tc>
          <w:tcPr>
            <w:tcW w:w="8494" w:type="dxa"/>
            <w:shd w:val="clear" w:color="auto" w:fill="F2F2F2" w:themeFill="background1" w:themeFillShade="F2"/>
          </w:tcPr>
          <w:p w14:paraId="6AD3DFBF" w14:textId="26568A3F" w:rsidR="00DC69C7" w:rsidRDefault="00DC69C7">
            <w:pPr>
              <w:jc w:val="both"/>
              <w:rPr>
                <w:rFonts w:asciiTheme="minorHAnsi" w:hAnsiTheme="minorHAnsi" w:cs="Arial"/>
                <w:bCs/>
                <w:sz w:val="20"/>
                <w:szCs w:val="20"/>
              </w:rPr>
            </w:pPr>
          </w:p>
        </w:tc>
      </w:tr>
    </w:tbl>
    <w:p w14:paraId="52E7D777" w14:textId="77777777" w:rsidR="00DC69C7" w:rsidRDefault="00DC69C7">
      <w:pPr>
        <w:jc w:val="both"/>
        <w:rPr>
          <w:rFonts w:ascii="Calibri" w:hAnsi="Calibri"/>
          <w:sz w:val="20"/>
          <w:szCs w:val="20"/>
        </w:rPr>
      </w:pPr>
    </w:p>
    <w:p w14:paraId="6005144D" w14:textId="77777777" w:rsidR="000D1487" w:rsidRPr="000D1487" w:rsidRDefault="000D1487" w:rsidP="000D1487">
      <w:pPr>
        <w:spacing w:line="360" w:lineRule="auto"/>
        <w:ind w:left="-76"/>
        <w:jc w:val="both"/>
        <w:rPr>
          <w:rFonts w:ascii="Calibri" w:hAnsi="Calibri" w:cs="Calibri"/>
          <w:i/>
          <w:color w:val="000000"/>
          <w:sz w:val="20"/>
          <w:lang w:val="x-none"/>
        </w:rPr>
      </w:pPr>
    </w:p>
    <w:p w14:paraId="1A99BD0A" w14:textId="77777777" w:rsidR="00EA574D" w:rsidRPr="005D79FB" w:rsidRDefault="00EA574D" w:rsidP="00EA574D">
      <w:pPr>
        <w:numPr>
          <w:ilvl w:val="0"/>
          <w:numId w:val="5"/>
        </w:numPr>
        <w:spacing w:line="276" w:lineRule="auto"/>
        <w:jc w:val="both"/>
        <w:rPr>
          <w:rFonts w:ascii="Calibri" w:hAnsi="Calibri" w:cs="Arial"/>
          <w:bCs/>
          <w:sz w:val="20"/>
          <w:szCs w:val="20"/>
        </w:rPr>
      </w:pPr>
      <w:r w:rsidRPr="00F77417">
        <w:rPr>
          <w:rFonts w:ascii="Calibri" w:hAnsi="Calibri" w:cs="Arial"/>
          <w:bCs/>
          <w:i/>
          <w:sz w:val="20"/>
          <w:szCs w:val="20"/>
          <w:u w:val="single"/>
        </w:rPr>
        <w:t>ULTERIORI INFORM</w:t>
      </w:r>
      <w:r w:rsidRPr="00D37FEE">
        <w:rPr>
          <w:rFonts w:ascii="Calibri" w:hAnsi="Calibri" w:cs="Arial"/>
          <w:bCs/>
          <w:sz w:val="20"/>
          <w:szCs w:val="20"/>
          <w:u w:val="single"/>
        </w:rPr>
        <w:t>AZIONI</w:t>
      </w:r>
      <w:r>
        <w:rPr>
          <w:rFonts w:ascii="Calibri" w:hAnsi="Calibri" w:cs="Arial"/>
          <w:bCs/>
          <w:sz w:val="20"/>
          <w:szCs w:val="20"/>
        </w:rPr>
        <w:t>: A</w:t>
      </w:r>
      <w:r w:rsidRPr="005D79FB">
        <w:rPr>
          <w:rFonts w:ascii="Calibri" w:hAnsi="Calibri" w:cs="Arial"/>
          <w:bCs/>
          <w:sz w:val="20"/>
          <w:szCs w:val="20"/>
        </w:rPr>
        <w:t>vete degli elementi/informazioni che ritenete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5A8B09FB" w14:textId="77777777">
        <w:trPr>
          <w:trHeight w:val="1824"/>
        </w:trPr>
        <w:tc>
          <w:tcPr>
            <w:tcW w:w="8494" w:type="dxa"/>
            <w:shd w:val="clear" w:color="auto" w:fill="F2F2F2" w:themeFill="background1" w:themeFillShade="F2"/>
          </w:tcPr>
          <w:p w14:paraId="0336709E" w14:textId="77777777" w:rsidR="00DC69C7" w:rsidRDefault="00DC69C7">
            <w:pPr>
              <w:ind w:left="284"/>
              <w:jc w:val="both"/>
              <w:rPr>
                <w:rFonts w:asciiTheme="minorHAnsi" w:hAnsiTheme="minorHAnsi" w:cs="Arial"/>
                <w:bCs/>
                <w:sz w:val="20"/>
                <w:szCs w:val="20"/>
              </w:rPr>
            </w:pPr>
          </w:p>
        </w:tc>
      </w:tr>
    </w:tbl>
    <w:p w14:paraId="230ABEF3" w14:textId="77777777" w:rsidR="00DC69C7" w:rsidRDefault="00DC69C7">
      <w:pPr>
        <w:rPr>
          <w:rFonts w:ascii="Calibri" w:hAnsi="Calibri"/>
          <w:bCs/>
          <w:color w:val="0070C0"/>
          <w:sz w:val="20"/>
          <w:szCs w:val="20"/>
        </w:rPr>
      </w:pPr>
    </w:p>
    <w:p w14:paraId="6E4C35CF" w14:textId="77777777" w:rsidR="00DC69C7" w:rsidRDefault="00DC69C7">
      <w:pPr>
        <w:jc w:val="both"/>
        <w:rPr>
          <w:rFonts w:ascii="Calibri" w:hAnsi="Calibri"/>
          <w:sz w:val="20"/>
          <w:szCs w:val="20"/>
        </w:rPr>
      </w:pPr>
    </w:p>
    <w:p w14:paraId="7CB9359D" w14:textId="7777777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684ACC22" w14:textId="3EC5B22F" w:rsidR="00DC69C7" w:rsidRDefault="00DC69C7">
      <w:pPr>
        <w:ind w:left="284"/>
        <w:jc w:val="both"/>
        <w:rPr>
          <w:rFonts w:ascii="Trebuchet MS" w:hAnsi="Trebuchet MS" w:cs="Arial"/>
          <w:i/>
          <w:color w:val="0000FF"/>
          <w:sz w:val="20"/>
          <w:szCs w:val="20"/>
        </w:rPr>
      </w:pPr>
    </w:p>
    <w:p w14:paraId="41518506" w14:textId="7765C44B" w:rsidR="00B42942" w:rsidRDefault="00B42942">
      <w:pPr>
        <w:ind w:left="284"/>
        <w:jc w:val="both"/>
        <w:rPr>
          <w:rFonts w:ascii="Trebuchet MS" w:hAnsi="Trebuchet MS" w:cs="Arial"/>
          <w:i/>
          <w:color w:val="0000FF"/>
          <w:sz w:val="20"/>
          <w:szCs w:val="20"/>
        </w:rPr>
      </w:pPr>
    </w:p>
    <w:p w14:paraId="1628781F" w14:textId="26DAC15D" w:rsidR="00B42942" w:rsidRDefault="00B42942">
      <w:pPr>
        <w:ind w:left="284"/>
        <w:jc w:val="both"/>
        <w:rPr>
          <w:rFonts w:ascii="Trebuchet MS" w:hAnsi="Trebuchet MS" w:cs="Arial"/>
          <w:i/>
          <w:color w:val="0000FF"/>
          <w:sz w:val="20"/>
          <w:szCs w:val="20"/>
        </w:rPr>
      </w:pPr>
    </w:p>
    <w:p w14:paraId="3138E580" w14:textId="77777777" w:rsidR="00B42942" w:rsidRDefault="00B42942">
      <w:pPr>
        <w:ind w:left="284"/>
        <w:jc w:val="both"/>
        <w:rPr>
          <w:rFonts w:ascii="Trebuchet MS" w:hAnsi="Trebuchet MS" w:cs="Arial"/>
          <w:i/>
          <w:color w:val="0000FF"/>
          <w:sz w:val="20"/>
          <w:szCs w:val="20"/>
        </w:rPr>
      </w:pPr>
    </w:p>
    <w:p w14:paraId="1886172F"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4C20813A"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B342FF4"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27836FDB" w14:textId="77777777">
        <w:tc>
          <w:tcPr>
            <w:tcW w:w="2822" w:type="dxa"/>
            <w:tcBorders>
              <w:top w:val="single" w:sz="4" w:space="0" w:color="FFFFFF" w:themeColor="background1"/>
            </w:tcBorders>
            <w:shd w:val="clear" w:color="auto" w:fill="auto"/>
          </w:tcPr>
          <w:p w14:paraId="160A62F8" w14:textId="77777777" w:rsidR="00DC69C7" w:rsidRDefault="00522FB0">
            <w:pPr>
              <w:ind w:left="284"/>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DC69C7" w14:paraId="0853C3A2" w14:textId="77777777">
        <w:trPr>
          <w:trHeight w:val="413"/>
        </w:trPr>
        <w:tc>
          <w:tcPr>
            <w:tcW w:w="2822" w:type="dxa"/>
            <w:shd w:val="clear" w:color="auto" w:fill="auto"/>
          </w:tcPr>
          <w:p w14:paraId="7866DB07" w14:textId="77777777" w:rsidR="00DC69C7" w:rsidRDefault="00DC69C7">
            <w:pPr>
              <w:ind w:left="284"/>
              <w:jc w:val="both"/>
              <w:rPr>
                <w:rFonts w:ascii="Trebuchet MS" w:hAnsi="Trebuchet MS" w:cs="Arial"/>
                <w:bCs/>
                <w:i/>
                <w:sz w:val="20"/>
                <w:szCs w:val="20"/>
                <w:highlight w:val="yellow"/>
              </w:rPr>
            </w:pPr>
          </w:p>
          <w:p w14:paraId="1CED9DC5" w14:textId="77777777" w:rsidR="00DC69C7" w:rsidRDefault="00DC69C7">
            <w:pPr>
              <w:ind w:left="284"/>
              <w:jc w:val="both"/>
              <w:rPr>
                <w:rFonts w:ascii="Trebuchet MS" w:hAnsi="Trebuchet MS" w:cs="Arial"/>
                <w:bCs/>
                <w:i/>
                <w:sz w:val="20"/>
                <w:szCs w:val="20"/>
                <w:highlight w:val="yellow"/>
              </w:rPr>
            </w:pPr>
          </w:p>
          <w:p w14:paraId="62CA5CB7"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1084C797" w14:textId="77777777" w:rsidR="00DC69C7" w:rsidRDefault="00DC69C7">
      <w:pPr>
        <w:jc w:val="both"/>
        <w:rPr>
          <w:rFonts w:ascii="Calibri" w:hAnsi="Calibri"/>
          <w:sz w:val="20"/>
          <w:szCs w:val="20"/>
        </w:rPr>
      </w:pPr>
    </w:p>
    <w:sectPr w:rsidR="00DC69C7">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31EE0" w14:textId="77777777" w:rsidR="00DC24B0" w:rsidRDefault="00DC24B0">
      <w:r>
        <w:separator/>
      </w:r>
    </w:p>
  </w:endnote>
  <w:endnote w:type="continuationSeparator" w:id="0">
    <w:p w14:paraId="13C9B197" w14:textId="77777777" w:rsidR="00DC24B0" w:rsidRDefault="00DC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AC16C"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28B1763"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6639" w14:textId="77777777" w:rsidR="007C362B" w:rsidRPr="007C362B" w:rsidRDefault="00DC32FE">
    <w:pPr>
      <w:pStyle w:val="Pidipagina"/>
      <w:pBdr>
        <w:top w:val="single" w:sz="4" w:space="1" w:color="auto"/>
      </w:pBdr>
      <w:rPr>
        <w:rFonts w:asciiTheme="minorHAnsi" w:hAnsiTheme="minorHAnsi"/>
        <w:sz w:val="16"/>
        <w:szCs w:val="16"/>
      </w:rPr>
    </w:pPr>
    <w:r w:rsidRPr="007C362B">
      <w:rPr>
        <w:rFonts w:asciiTheme="minorHAnsi" w:hAnsiTheme="minorHAnsi"/>
        <w:noProof/>
        <w:sz w:val="16"/>
        <w:szCs w:val="16"/>
      </w:rPr>
      <mc:AlternateContent>
        <mc:Choice Requires="wps">
          <w:drawing>
            <wp:anchor distT="0" distB="0" distL="114300" distR="114300" simplePos="0" relativeHeight="251661312" behindDoc="0" locked="0" layoutInCell="1" allowOverlap="1" wp14:anchorId="7917EEDB" wp14:editId="263339E7">
              <wp:simplePos x="0" y="0"/>
              <wp:positionH relativeFrom="column">
                <wp:posOffset>4777314</wp:posOffset>
              </wp:positionH>
              <wp:positionV relativeFrom="paragraph">
                <wp:posOffset>238681</wp:posOffset>
              </wp:positionV>
              <wp:extent cx="693420"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695DD8AD" w14:textId="3566A3AD"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B67FE">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B67FE">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504E570A"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7EEDB" id="_x0000_t202" coordsize="21600,21600" o:spt="202" path="m,l,21600r21600,l21600,xe">
              <v:stroke joinstyle="miter"/>
              <v:path gradientshapeok="t" o:connecttype="rect"/>
            </v:shapetype>
            <v:shape id="Casella di testo 3" o:spid="_x0000_s1026" type="#_x0000_t202" style="position:absolute;margin-left:376.15pt;margin-top:18.8pt;width:5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" stroked="f">
              <v:textbox>
                <w:txbxContent>
                  <w:p w14:paraId="695DD8AD" w14:textId="3566A3AD" w:rsidR="00DC69C7" w:rsidRDefault="00522FB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B67FE">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B67FE">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504E570A" w14:textId="77777777" w:rsidR="00DC69C7" w:rsidRDefault="00DC69C7"/>
                </w:txbxContent>
              </v:textbox>
            </v:shape>
          </w:pict>
        </mc:Fallback>
      </mc:AlternateContent>
    </w:r>
    <w:r w:rsidR="00522FB0" w:rsidRPr="007C362B">
      <w:rPr>
        <w:rFonts w:asciiTheme="minorHAnsi" w:hAnsiTheme="minorHAnsi"/>
        <w:sz w:val="16"/>
        <w:szCs w:val="16"/>
      </w:rPr>
      <w:t xml:space="preserve">Consip S.p.A. - </w:t>
    </w:r>
    <w:r w:rsidR="00522FB0">
      <w:rPr>
        <w:rFonts w:asciiTheme="minorHAnsi" w:hAnsiTheme="minorHAnsi"/>
        <w:sz w:val="16"/>
        <w:szCs w:val="16"/>
      </w:rPr>
      <w:t xml:space="preserve">Consultazione di mercato per </w:t>
    </w:r>
    <w:r>
      <w:rPr>
        <w:rFonts w:asciiTheme="minorHAnsi" w:hAnsiTheme="minorHAnsi"/>
        <w:sz w:val="16"/>
        <w:szCs w:val="16"/>
      </w:rPr>
      <w:t>l’a</w:t>
    </w:r>
    <w:r w:rsidR="007C362B" w:rsidRPr="007C362B">
      <w:rPr>
        <w:rFonts w:asciiTheme="minorHAnsi" w:hAnsiTheme="minorHAnsi"/>
        <w:sz w:val="16"/>
        <w:szCs w:val="16"/>
      </w:rPr>
      <w:t xml:space="preserve">cquisizione </w:t>
    </w:r>
    <w:r>
      <w:rPr>
        <w:rFonts w:asciiTheme="minorHAnsi" w:hAnsiTheme="minorHAnsi"/>
        <w:sz w:val="16"/>
        <w:szCs w:val="16"/>
      </w:rPr>
      <w:t xml:space="preserve">di </w:t>
    </w:r>
    <w:r w:rsidR="007C362B" w:rsidRPr="007C362B">
      <w:rPr>
        <w:rFonts w:asciiTheme="minorHAnsi" w:hAnsiTheme="minorHAnsi"/>
        <w:sz w:val="16"/>
        <w:szCs w:val="16"/>
      </w:rPr>
      <w:t xml:space="preserve">sottoscrizioni </w:t>
    </w:r>
    <w:proofErr w:type="spellStart"/>
    <w:r w:rsidR="007C362B" w:rsidRPr="007C362B">
      <w:rPr>
        <w:rFonts w:asciiTheme="minorHAnsi" w:hAnsiTheme="minorHAnsi"/>
        <w:sz w:val="16"/>
        <w:szCs w:val="16"/>
      </w:rPr>
      <w:t>S</w:t>
    </w:r>
    <w:r w:rsidR="007C362B">
      <w:rPr>
        <w:rFonts w:asciiTheme="minorHAnsi" w:hAnsiTheme="minorHAnsi"/>
        <w:sz w:val="16"/>
        <w:szCs w:val="16"/>
      </w:rPr>
      <w:t>P</w:t>
    </w:r>
    <w:r w:rsidR="007C362B" w:rsidRPr="007C362B">
      <w:rPr>
        <w:rFonts w:asciiTheme="minorHAnsi" w:hAnsiTheme="minorHAnsi"/>
        <w:sz w:val="16"/>
        <w:szCs w:val="16"/>
      </w:rPr>
      <w:t>Coop</w:t>
    </w:r>
    <w:proofErr w:type="spellEnd"/>
    <w:r w:rsidR="007C362B" w:rsidRPr="007C362B">
      <w:rPr>
        <w:rFonts w:asciiTheme="minorHAnsi" w:hAnsiTheme="minorHAnsi"/>
        <w:sz w:val="16"/>
        <w:szCs w:val="16"/>
      </w:rPr>
      <w:t xml:space="preserve"> Enterprise e </w:t>
    </w:r>
    <w:proofErr w:type="spellStart"/>
    <w:r w:rsidR="007C362B" w:rsidRPr="007C362B">
      <w:rPr>
        <w:rFonts w:asciiTheme="minorHAnsi" w:hAnsiTheme="minorHAnsi"/>
        <w:sz w:val="16"/>
        <w:szCs w:val="16"/>
      </w:rPr>
      <w:t>GovWay</w:t>
    </w:r>
    <w:proofErr w:type="spellEnd"/>
    <w:r w:rsidR="007C362B" w:rsidRPr="007C362B">
      <w:rPr>
        <w:rFonts w:asciiTheme="minorHAnsi" w:hAnsiTheme="minorHAnsi"/>
        <w:sz w:val="16"/>
        <w:szCs w:val="16"/>
      </w:rPr>
      <w:t xml:space="preserve"> Enterprise e relativi servizi di manutenzione e supporto specialistico </w:t>
    </w:r>
  </w:p>
  <w:p w14:paraId="17DF6A4F" w14:textId="77777777" w:rsidR="00DC69C7" w:rsidRPr="007C362B" w:rsidRDefault="00522FB0">
    <w:pPr>
      <w:pStyle w:val="Pidipagina"/>
      <w:pBdr>
        <w:top w:val="single" w:sz="4" w:space="1" w:color="auto"/>
      </w:pBdr>
      <w:rPr>
        <w:rFonts w:asciiTheme="minorHAnsi" w:hAnsiTheme="minorHAnsi"/>
        <w:sz w:val="16"/>
        <w:szCs w:val="16"/>
      </w:rPr>
    </w:pPr>
    <w:r w:rsidRPr="007C362B">
      <w:rPr>
        <w:rFonts w:asciiTheme="minorHAnsi" w:hAnsiTheme="minorHAnsi"/>
        <w:sz w:val="16"/>
        <w:szCs w:val="16"/>
      </w:rPr>
      <w:t>Ver. 1.</w:t>
    </w:r>
    <w:r w:rsidR="00001077" w:rsidRPr="007C362B">
      <w:rPr>
        <w:rFonts w:asciiTheme="minorHAnsi" w:hAnsiTheme="minorHAnsi"/>
        <w:sz w:val="16"/>
        <w:szCs w:val="16"/>
      </w:rPr>
      <w:t>1</w:t>
    </w:r>
    <w:r w:rsidRPr="007C362B">
      <w:rPr>
        <w:rFonts w:asciiTheme="minorHAnsi" w:hAnsiTheme="minorHAnsi"/>
        <w:sz w:val="16"/>
        <w:szCs w:val="16"/>
      </w:rPr>
      <w:t xml:space="preserve"> - Data Aggiornamento: </w:t>
    </w:r>
    <w:r w:rsidR="00001077" w:rsidRPr="007C362B">
      <w:rPr>
        <w:rFonts w:asciiTheme="minorHAnsi" w:hAnsiTheme="minorHAnsi"/>
        <w:sz w:val="16"/>
        <w:szCs w:val="16"/>
      </w:rPr>
      <w:t>29</w:t>
    </w:r>
    <w:r w:rsidRPr="007C362B">
      <w:rPr>
        <w:rFonts w:asciiTheme="minorHAnsi" w:hAnsiTheme="minorHAnsi"/>
        <w:sz w:val="16"/>
        <w:szCs w:val="16"/>
      </w:rPr>
      <w:t>/0</w:t>
    </w:r>
    <w:r w:rsidR="00001077" w:rsidRPr="007C362B">
      <w:rPr>
        <w:rFonts w:asciiTheme="minorHAnsi" w:hAnsiTheme="minorHAnsi"/>
        <w:sz w:val="16"/>
        <w:szCs w:val="16"/>
      </w:rPr>
      <w:t>3</w:t>
    </w:r>
    <w:r w:rsidRPr="007C362B">
      <w:rPr>
        <w:rFonts w:asciiTheme="minorHAnsi" w:hAnsiTheme="minorHAnsi"/>
        <w:sz w:val="16"/>
        <w:szCs w:val="16"/>
      </w:rPr>
      <w:t>/20</w:t>
    </w:r>
    <w:r w:rsidR="00001077" w:rsidRPr="007C362B">
      <w:rPr>
        <w:rFonts w:asciiTheme="minorHAnsi" w:hAnsiTheme="minorHAnsi"/>
        <w:sz w:val="16"/>
        <w:szCs w:val="16"/>
      </w:rPr>
      <w:t>21</w:t>
    </w:r>
  </w:p>
  <w:p w14:paraId="70FE04C1" w14:textId="77777777" w:rsidR="00DC69C7" w:rsidRPr="007C362B" w:rsidRDefault="00522FB0">
    <w:pPr>
      <w:pStyle w:val="Pidipagina"/>
      <w:pBdr>
        <w:top w:val="single" w:sz="4" w:space="1" w:color="auto"/>
      </w:pBdr>
      <w:rPr>
        <w:rFonts w:asciiTheme="minorHAnsi" w:hAnsiTheme="minorHAnsi"/>
        <w:sz w:val="16"/>
        <w:szCs w:val="16"/>
      </w:rPr>
    </w:pPr>
    <w:r w:rsidRPr="007C362B">
      <w:rPr>
        <w:rFonts w:asciiTheme="minorHAnsi" w:hAnsiTheme="minorHAnsi"/>
        <w:sz w:val="16"/>
        <w:szCs w:val="16"/>
      </w:rPr>
      <w:t>Classificazione documento: Consip Public</w:t>
    </w:r>
  </w:p>
  <w:p w14:paraId="5C0958D2" w14:textId="77777777" w:rsidR="00DC69C7" w:rsidRPr="007C362B" w:rsidRDefault="00522FB0">
    <w:pPr>
      <w:pStyle w:val="Pidipagina"/>
      <w:pBdr>
        <w:top w:val="single" w:sz="4" w:space="1" w:color="auto"/>
      </w:pBdr>
      <w:rPr>
        <w:rFonts w:asciiTheme="minorHAnsi" w:hAnsiTheme="minorHAnsi"/>
        <w:sz w:val="16"/>
        <w:szCs w:val="16"/>
      </w:rPr>
    </w:pPr>
    <w:r w:rsidRPr="007C362B">
      <w:rPr>
        <w:rFonts w:asciiTheme="minorHAnsi" w:hAnsiTheme="minorHAnsi"/>
        <w:sz w:val="16"/>
        <w:szCs w:val="16"/>
      </w:rPr>
      <w:t>Codice documento: SGQ1_MODU_000191_00</w:t>
    </w:r>
  </w:p>
  <w:p w14:paraId="6DA1621A" w14:textId="77777777" w:rsidR="00DC69C7" w:rsidRDefault="00DC69C7">
    <w:pPr>
      <w:pStyle w:val="Pidipagina"/>
      <w:ind w:right="360"/>
      <w:jc w:val="both"/>
      <w:rPr>
        <w:rFonts w:ascii="Calibri" w:hAnsi="Calibri" w:cs="Arial"/>
        <w:sz w:val="16"/>
        <w:szCs w:val="16"/>
      </w:rPr>
    </w:pPr>
  </w:p>
  <w:p w14:paraId="633D7C46"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1406" w14:textId="77777777" w:rsidR="00DC69C7" w:rsidRDefault="00522FB0">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2324F5A2"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BF01E51"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5C7FACB"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03ED10C5" w14:textId="77777777" w:rsidR="00DC69C7" w:rsidRDefault="00522FB0">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170C2" w14:textId="77777777" w:rsidR="00DC24B0" w:rsidRDefault="00DC24B0">
      <w:r>
        <w:separator/>
      </w:r>
    </w:p>
  </w:footnote>
  <w:footnote w:type="continuationSeparator" w:id="0">
    <w:p w14:paraId="3E00AB63" w14:textId="77777777" w:rsidR="00DC24B0" w:rsidRDefault="00DC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6DC4" w14:textId="77777777" w:rsidR="00DC69C7" w:rsidRDefault="00522FB0">
    <w:pPr>
      <w:pStyle w:val="Intestazione"/>
    </w:pPr>
    <w:r>
      <w:rPr>
        <w:noProof/>
      </w:rPr>
      <w:drawing>
        <wp:anchor distT="0" distB="0" distL="114300" distR="114300" simplePos="0" relativeHeight="251654144" behindDoc="1" locked="0" layoutInCell="1" allowOverlap="1" wp14:anchorId="70BD5F13" wp14:editId="2BF55B95">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3E3C" w14:textId="77777777" w:rsidR="00DC69C7" w:rsidRDefault="00522FB0">
    <w:pPr>
      <w:pStyle w:val="Intestazione"/>
    </w:pPr>
    <w:r>
      <w:rPr>
        <w:noProof/>
      </w:rPr>
      <w:drawing>
        <wp:anchor distT="0" distB="0" distL="114300" distR="114300" simplePos="0" relativeHeight="251656192" behindDoc="1" locked="0" layoutInCell="1" allowOverlap="1" wp14:anchorId="7EC72A62" wp14:editId="39B1E7D7">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76DF" w14:textId="77777777" w:rsidR="00DC69C7" w:rsidRDefault="00522FB0">
    <w:pPr>
      <w:pStyle w:val="Intestazione"/>
    </w:pPr>
    <w:r>
      <w:rPr>
        <w:noProof/>
      </w:rPr>
      <w:drawing>
        <wp:anchor distT="0" distB="0" distL="114300" distR="114300" simplePos="0" relativeHeight="251655168" behindDoc="1" locked="0" layoutInCell="1" allowOverlap="1" wp14:anchorId="16410D97" wp14:editId="58B315F2">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B58F55E"/>
    <w:lvl w:ilvl="0">
      <w:start w:val="1"/>
      <w:numFmt w:val="decimal"/>
      <w:pStyle w:val="Numeroelenco"/>
      <w:lvlText w:val="%1."/>
      <w:lvlJc w:val="left"/>
      <w:pPr>
        <w:tabs>
          <w:tab w:val="num" w:pos="360"/>
        </w:tabs>
        <w:ind w:left="360" w:hanging="360"/>
      </w:pPr>
      <w:rPr>
        <w:rFonts w:hint="default"/>
        <w:b w:val="0"/>
        <w:strike w:val="0"/>
        <w:lang w:val="it-IT"/>
      </w:rPr>
    </w:lvl>
  </w:abstractNum>
  <w:abstractNum w:abstractNumId="1" w15:restartNumberingAfterBreak="0">
    <w:nsid w:val="028E430F"/>
    <w:multiLevelType w:val="hybridMultilevel"/>
    <w:tmpl w:val="BA062286"/>
    <w:lvl w:ilvl="0" w:tplc="6C685C7C">
      <w:start w:val="1"/>
      <w:numFmt w:val="bullet"/>
      <w:lvlText w:val="−"/>
      <w:lvlJc w:val="left"/>
      <w:pPr>
        <w:ind w:left="720" w:hanging="360"/>
      </w:pPr>
      <w:rPr>
        <w:rFonts w:ascii="Calibri" w:hAnsi="Calibri" w:hint="default"/>
      </w:rPr>
    </w:lvl>
    <w:lvl w:ilvl="1" w:tplc="6C685C7C">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3FFC67A6"/>
    <w:multiLevelType w:val="hybridMultilevel"/>
    <w:tmpl w:val="4CD04F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E54326C"/>
    <w:multiLevelType w:val="hybridMultilevel"/>
    <w:tmpl w:val="3E4A05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5F3C52E2"/>
    <w:multiLevelType w:val="hybridMultilevel"/>
    <w:tmpl w:val="D9DEA110"/>
    <w:lvl w:ilvl="0" w:tplc="6C685C7C">
      <w:start w:val="1"/>
      <w:numFmt w:val="bullet"/>
      <w:lvlText w:val="−"/>
      <w:lvlJc w:val="left"/>
      <w:pPr>
        <w:ind w:left="720" w:hanging="360"/>
      </w:pPr>
      <w:rPr>
        <w:rFonts w:ascii="Calibri" w:hAnsi="Calibri" w:hint="default"/>
      </w:rPr>
    </w:lvl>
    <w:lvl w:ilvl="1" w:tplc="6C685C7C">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151311"/>
    <w:multiLevelType w:val="hybridMultilevel"/>
    <w:tmpl w:val="69C2B13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E17596"/>
    <w:multiLevelType w:val="hybridMultilevel"/>
    <w:tmpl w:val="ACFCC370"/>
    <w:lvl w:ilvl="0" w:tplc="6C685C7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2"/>
  </w:num>
  <w:num w:numId="5">
    <w:abstractNumId w:val="3"/>
  </w:num>
  <w:num w:numId="6">
    <w:abstractNumId w:val="2"/>
  </w:num>
  <w:num w:numId="7">
    <w:abstractNumId w:val="6"/>
  </w:num>
  <w:num w:numId="8">
    <w:abstractNumId w:val="6"/>
  </w:num>
  <w:num w:numId="9">
    <w:abstractNumId w:val="6"/>
  </w:num>
  <w:num w:numId="10">
    <w:abstractNumId w:val="6"/>
  </w:num>
  <w:num w:numId="11">
    <w:abstractNumId w:val="6"/>
  </w:num>
  <w:num w:numId="12">
    <w:abstractNumId w:val="6"/>
  </w:num>
  <w:num w:numId="13">
    <w:abstractNumId w:val="4"/>
  </w:num>
  <w:num w:numId="14">
    <w:abstractNumId w:val="13"/>
  </w:num>
  <w:num w:numId="15">
    <w:abstractNumId w:val="5"/>
  </w:num>
  <w:num w:numId="16">
    <w:abstractNumId w:val="8"/>
  </w:num>
  <w:num w:numId="17">
    <w:abstractNumId w:val="1"/>
  </w:num>
  <w:num w:numId="18">
    <w:abstractNumId w:val="10"/>
  </w:num>
  <w:num w:numId="19">
    <w:abstractNumId w:val="0"/>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33573"/>
    <w:rsid w:val="00035E42"/>
    <w:rsid w:val="00060C50"/>
    <w:rsid w:val="00064A8C"/>
    <w:rsid w:val="000D1487"/>
    <w:rsid w:val="00115F82"/>
    <w:rsid w:val="00122650"/>
    <w:rsid w:val="0012434A"/>
    <w:rsid w:val="00133118"/>
    <w:rsid w:val="00242C6B"/>
    <w:rsid w:val="00356F68"/>
    <w:rsid w:val="003C5B56"/>
    <w:rsid w:val="004437BA"/>
    <w:rsid w:val="0044517A"/>
    <w:rsid w:val="0047592A"/>
    <w:rsid w:val="004B7E48"/>
    <w:rsid w:val="005205DD"/>
    <w:rsid w:val="00522FB0"/>
    <w:rsid w:val="005A168E"/>
    <w:rsid w:val="00611264"/>
    <w:rsid w:val="006654C6"/>
    <w:rsid w:val="006B67FE"/>
    <w:rsid w:val="00703F5F"/>
    <w:rsid w:val="00786549"/>
    <w:rsid w:val="007C362B"/>
    <w:rsid w:val="007D6DFF"/>
    <w:rsid w:val="008479AA"/>
    <w:rsid w:val="008617E3"/>
    <w:rsid w:val="00863205"/>
    <w:rsid w:val="008673AA"/>
    <w:rsid w:val="00873D29"/>
    <w:rsid w:val="00880C19"/>
    <w:rsid w:val="008E51DB"/>
    <w:rsid w:val="009229EC"/>
    <w:rsid w:val="009555D5"/>
    <w:rsid w:val="0099486F"/>
    <w:rsid w:val="00A0681F"/>
    <w:rsid w:val="00A25E52"/>
    <w:rsid w:val="00A95A05"/>
    <w:rsid w:val="00AC14D1"/>
    <w:rsid w:val="00B05706"/>
    <w:rsid w:val="00B1741D"/>
    <w:rsid w:val="00B42942"/>
    <w:rsid w:val="00BB7F8A"/>
    <w:rsid w:val="00BD0B1F"/>
    <w:rsid w:val="00C04A92"/>
    <w:rsid w:val="00CC3269"/>
    <w:rsid w:val="00D95DB5"/>
    <w:rsid w:val="00DC24B0"/>
    <w:rsid w:val="00DC32FE"/>
    <w:rsid w:val="00DC69C7"/>
    <w:rsid w:val="00DD4834"/>
    <w:rsid w:val="00E07131"/>
    <w:rsid w:val="00E10718"/>
    <w:rsid w:val="00EA574D"/>
    <w:rsid w:val="00F90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2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styleId="Numeroelenco">
    <w:name w:val="List Number"/>
    <w:basedOn w:val="Normale"/>
    <w:link w:val="NumeroelencoCarattere"/>
    <w:rsid w:val="00242C6B"/>
    <w:pPr>
      <w:widowControl w:val="0"/>
      <w:numPr>
        <w:numId w:val="19"/>
      </w:numPr>
      <w:tabs>
        <w:tab w:val="clear" w:pos="360"/>
      </w:tabs>
      <w:autoSpaceDE w:val="0"/>
      <w:autoSpaceDN w:val="0"/>
      <w:adjustRightInd w:val="0"/>
      <w:spacing w:line="300" w:lineRule="exact"/>
      <w:jc w:val="both"/>
    </w:pPr>
    <w:rPr>
      <w:rFonts w:ascii="Trebuchet MS" w:hAnsi="Trebuchet MS"/>
      <w:sz w:val="20"/>
      <w:lang w:val="x-none" w:eastAsia="x-none"/>
    </w:rPr>
  </w:style>
  <w:style w:type="character" w:customStyle="1" w:styleId="NumeroelencoCarattere">
    <w:name w:val="Numero elenco Carattere"/>
    <w:link w:val="Numeroelenco"/>
    <w:rsid w:val="00242C6B"/>
    <w:rPr>
      <w:rFonts w:ascii="Trebuchet MS" w:hAnsi="Trebuchet M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9968">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ctconsip@postacert.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5AA2-3315-4817-B5D0-1CEC0E08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1595</Words>
  <Characters>9778</Characters>
  <Application>Microsoft Office Word</Application>
  <DocSecurity>0</DocSecurity>
  <Lines>425</Lines>
  <Paragraphs>291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2021-09-02T13:09:00Z</dcterms:created>
  <dcterms:modified xsi:type="dcterms:W3CDTF">2021-09-06T06:34:00Z</dcterms:modified>
</cp:coreProperties>
</file>